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F1F6B" w14:textId="03D75634" w:rsidR="00C7546A" w:rsidRPr="00A47A06" w:rsidRDefault="00790475" w:rsidP="00A60D73">
      <w:pPr>
        <w:rPr>
          <w:b/>
          <w:bCs/>
          <w:color w:val="2C5C86"/>
          <w:sz w:val="80"/>
          <w:szCs w:val="80"/>
        </w:rPr>
      </w:pPr>
      <w:r w:rsidRPr="00A47A06">
        <w:rPr>
          <w:b/>
          <w:bCs/>
          <w:color w:val="2C5C86"/>
          <w:sz w:val="80"/>
          <w:szCs w:val="80"/>
        </w:rPr>
        <w:t>Disability Services Commission Board</w:t>
      </w:r>
    </w:p>
    <w:p w14:paraId="78110C17" w14:textId="233D1021" w:rsidR="00790475" w:rsidRPr="00A47A06" w:rsidRDefault="00790475" w:rsidP="00A60D73">
      <w:pPr>
        <w:rPr>
          <w:b/>
          <w:bCs/>
          <w:color w:val="2C5C86"/>
          <w:sz w:val="80"/>
          <w:szCs w:val="80"/>
        </w:rPr>
      </w:pPr>
      <w:r w:rsidRPr="00A47A06">
        <w:rPr>
          <w:b/>
          <w:bCs/>
          <w:color w:val="2C5C86"/>
          <w:sz w:val="80"/>
          <w:szCs w:val="80"/>
        </w:rPr>
        <w:t>Charter</w:t>
      </w:r>
    </w:p>
    <w:p w14:paraId="7AD48E8A" w14:textId="1B0415F3" w:rsidR="00790475" w:rsidRDefault="004007C3" w:rsidP="00A60D73">
      <w:r>
        <w:t>August 2024</w:t>
      </w:r>
    </w:p>
    <w:p w14:paraId="3B7EE5A2" w14:textId="77777777" w:rsidR="00CD7C51" w:rsidRDefault="00CD7C51" w:rsidP="00A60D73"/>
    <w:p w14:paraId="3688D10D" w14:textId="77777777" w:rsidR="00EA2571" w:rsidRDefault="00EA2571" w:rsidP="00A60D73"/>
    <w:p w14:paraId="68C48464" w14:textId="1F8610F4" w:rsidR="00EA2571" w:rsidRDefault="00006898" w:rsidP="00A60D73">
      <w:pPr>
        <w:sectPr w:rsidR="00EA2571" w:rsidSect="00A2046F">
          <w:headerReference w:type="even" r:id="rId9"/>
          <w:headerReference w:type="default" r:id="rId10"/>
          <w:footerReference w:type="even" r:id="rId11"/>
          <w:footerReference w:type="default" r:id="rId12"/>
          <w:headerReference w:type="first" r:id="rId13"/>
          <w:footerReference w:type="first" r:id="rId14"/>
          <w:pgSz w:w="11906" w:h="16838"/>
          <w:pgMar w:top="1440" w:right="424" w:bottom="1440" w:left="1440" w:header="0" w:footer="708" w:gutter="0"/>
          <w:cols w:space="708"/>
          <w:docGrid w:linePitch="360"/>
        </w:sectPr>
      </w:pPr>
      <w:r>
        <w:rPr>
          <w:noProof/>
        </w:rPr>
        <mc:AlternateContent>
          <mc:Choice Requires="wps">
            <w:drawing>
              <wp:anchor distT="0" distB="0" distL="114300" distR="114300" simplePos="0" relativeHeight="251659264" behindDoc="0" locked="0" layoutInCell="1" allowOverlap="1" wp14:anchorId="754518E9" wp14:editId="2DE526F0">
                <wp:simplePos x="0" y="0"/>
                <wp:positionH relativeFrom="margin">
                  <wp:align>right</wp:align>
                </wp:positionH>
                <wp:positionV relativeFrom="paragraph">
                  <wp:posOffset>4939817</wp:posOffset>
                </wp:positionV>
                <wp:extent cx="2395183" cy="518407"/>
                <wp:effectExtent l="0" t="0" r="5715" b="0"/>
                <wp:wrapNone/>
                <wp:docPr id="1" name="Text Box 1"/>
                <wp:cNvGraphicFramePr/>
                <a:graphic xmlns:a="http://schemas.openxmlformats.org/drawingml/2006/main">
                  <a:graphicData uri="http://schemas.microsoft.com/office/word/2010/wordprocessingShape">
                    <wps:wsp>
                      <wps:cNvSpPr txBox="1"/>
                      <wps:spPr>
                        <a:xfrm>
                          <a:off x="0" y="0"/>
                          <a:ext cx="2395183" cy="518407"/>
                        </a:xfrm>
                        <a:prstGeom prst="rect">
                          <a:avLst/>
                        </a:prstGeom>
                        <a:solidFill>
                          <a:schemeClr val="lt1"/>
                        </a:solidFill>
                        <a:ln w="6350">
                          <a:noFill/>
                        </a:ln>
                      </wps:spPr>
                      <wps:txbx>
                        <w:txbxContent>
                          <w:p w14:paraId="10575876" w14:textId="10582EFE" w:rsidR="00006898" w:rsidRPr="00006898" w:rsidRDefault="00006898" w:rsidP="00256A4B">
                            <w:pPr>
                              <w:jc w:val="right"/>
                              <w:rPr>
                                <w:sz w:val="22"/>
                              </w:rPr>
                            </w:pPr>
                            <w:r w:rsidRPr="00006898">
                              <w:rPr>
                                <w:sz w:val="22"/>
                              </w:rPr>
                              <w:t>Version 2.0 Endorsed at full Council meeting 2 August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518E9" id="_x0000_t202" coordsize="21600,21600" o:spt="202" path="m,l,21600r21600,l21600,xe">
                <v:stroke joinstyle="miter"/>
                <v:path gradientshapeok="t" o:connecttype="rect"/>
              </v:shapetype>
              <v:shape id="Text Box 1" o:spid="_x0000_s1026" type="#_x0000_t202" style="position:absolute;margin-left:137.4pt;margin-top:388.95pt;width:188.6pt;height:40.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" fillcolor="white [3201]" stroked="f" strokeweight=".5pt">
                <v:textbox>
                  <w:txbxContent>
                    <w:p w14:paraId="10575876" w14:textId="10582EFE" w:rsidR="00006898" w:rsidRPr="00006898" w:rsidRDefault="00006898" w:rsidP="00256A4B">
                      <w:pPr>
                        <w:jc w:val="right"/>
                        <w:rPr>
                          <w:sz w:val="22"/>
                        </w:rPr>
                      </w:pPr>
                      <w:r w:rsidRPr="00006898">
                        <w:rPr>
                          <w:sz w:val="22"/>
                        </w:rPr>
                        <w:t>Version 2.0 Endorsed at full Council meeting 2 August 2024</w:t>
                      </w:r>
                    </w:p>
                  </w:txbxContent>
                </v:textbox>
                <w10:wrap anchorx="margin"/>
              </v:shape>
            </w:pict>
          </mc:Fallback>
        </mc:AlternateContent>
      </w:r>
      <w:r w:rsidR="00EA2571">
        <w:t xml:space="preserve">Version # </w:t>
      </w:r>
      <w:r w:rsidR="004007C3">
        <w:t>2</w:t>
      </w:r>
      <w:r w:rsidR="00EA2571">
        <w:t>.0</w:t>
      </w:r>
    </w:p>
    <w:sdt>
      <w:sdtPr>
        <w:rPr>
          <w:rFonts w:eastAsiaTheme="minorHAnsi" w:cstheme="minorBidi"/>
          <w:szCs w:val="22"/>
        </w:rPr>
        <w:id w:val="1236599848"/>
        <w:docPartObj>
          <w:docPartGallery w:val="Table of Contents"/>
          <w:docPartUnique/>
        </w:docPartObj>
      </w:sdtPr>
      <w:sdtEndPr>
        <w:rPr>
          <w:b/>
          <w:bCs/>
          <w:noProof/>
        </w:rPr>
      </w:sdtEndPr>
      <w:sdtContent>
        <w:p w14:paraId="0DFDB9B9" w14:textId="3AA9F2F9" w:rsidR="00EE0CBC" w:rsidRPr="003B32F5" w:rsidRDefault="00EE0CBC" w:rsidP="003B32F5">
          <w:pPr>
            <w:pStyle w:val="BodyText"/>
            <w:rPr>
              <w:b/>
              <w:bCs/>
              <w:color w:val="2C5C86"/>
              <w:sz w:val="48"/>
              <w:szCs w:val="48"/>
            </w:rPr>
          </w:pPr>
          <w:r w:rsidRPr="003B32F5">
            <w:rPr>
              <w:b/>
              <w:bCs/>
              <w:color w:val="2C5C86"/>
              <w:sz w:val="48"/>
              <w:szCs w:val="48"/>
            </w:rPr>
            <w:t>Contents</w:t>
          </w:r>
        </w:p>
        <w:p w14:paraId="38A1FF9B" w14:textId="5B8C5914" w:rsidR="003B32F5" w:rsidRPr="003B32F5" w:rsidRDefault="003B32F5" w:rsidP="003B32F5">
          <w:pPr>
            <w:pStyle w:val="TOC1"/>
            <w:tabs>
              <w:tab w:val="left" w:pos="440"/>
              <w:tab w:val="right" w:leader="dot" w:pos="9182"/>
            </w:tabs>
            <w:spacing w:line="480" w:lineRule="auto"/>
            <w:rPr>
              <w:rFonts w:asciiTheme="minorHAnsi" w:eastAsiaTheme="minorEastAsia" w:hAnsiTheme="minorHAnsi"/>
              <w:noProof/>
              <w:sz w:val="40"/>
              <w:szCs w:val="40"/>
              <w:lang w:eastAsia="en-AU"/>
            </w:rPr>
          </w:pPr>
          <w:r>
            <w:fldChar w:fldCharType="begin"/>
          </w:r>
          <w:r>
            <w:instrText xml:space="preserve"> TOC \o "1-1" \h \z \u </w:instrText>
          </w:r>
          <w:r>
            <w:fldChar w:fldCharType="separate"/>
          </w:r>
          <w:hyperlink w:anchor="_Toc125378619" w:history="1">
            <w:r w:rsidRPr="003B32F5">
              <w:rPr>
                <w:rStyle w:val="Hyperlink"/>
                <w:noProof/>
                <w:sz w:val="40"/>
                <w:szCs w:val="40"/>
              </w:rPr>
              <w:t>1.</w:t>
            </w:r>
            <w:r w:rsidRPr="003B32F5">
              <w:rPr>
                <w:rFonts w:asciiTheme="minorHAnsi" w:eastAsiaTheme="minorEastAsia" w:hAnsiTheme="minorHAnsi"/>
                <w:noProof/>
                <w:sz w:val="40"/>
                <w:szCs w:val="40"/>
                <w:lang w:eastAsia="en-AU"/>
              </w:rPr>
              <w:tab/>
            </w:r>
            <w:r w:rsidRPr="003B32F5">
              <w:rPr>
                <w:rStyle w:val="Hyperlink"/>
                <w:noProof/>
                <w:sz w:val="40"/>
                <w:szCs w:val="40"/>
              </w:rPr>
              <w:t>Definitions</w:t>
            </w:r>
            <w:r w:rsidRPr="003B32F5">
              <w:rPr>
                <w:noProof/>
                <w:webHidden/>
                <w:sz w:val="40"/>
                <w:szCs w:val="40"/>
              </w:rPr>
              <w:tab/>
            </w:r>
            <w:r w:rsidRPr="003B32F5">
              <w:rPr>
                <w:noProof/>
                <w:webHidden/>
                <w:sz w:val="40"/>
                <w:szCs w:val="40"/>
              </w:rPr>
              <w:fldChar w:fldCharType="begin"/>
            </w:r>
            <w:r w:rsidRPr="003B32F5">
              <w:rPr>
                <w:noProof/>
                <w:webHidden/>
                <w:sz w:val="40"/>
                <w:szCs w:val="40"/>
              </w:rPr>
              <w:instrText xml:space="preserve"> PAGEREF _Toc125378619 \h </w:instrText>
            </w:r>
            <w:r w:rsidRPr="003B32F5">
              <w:rPr>
                <w:noProof/>
                <w:webHidden/>
                <w:sz w:val="40"/>
                <w:szCs w:val="40"/>
              </w:rPr>
            </w:r>
            <w:r w:rsidRPr="003B32F5">
              <w:rPr>
                <w:noProof/>
                <w:webHidden/>
                <w:sz w:val="40"/>
                <w:szCs w:val="40"/>
              </w:rPr>
              <w:fldChar w:fldCharType="separate"/>
            </w:r>
            <w:r w:rsidR="00A2046F">
              <w:rPr>
                <w:noProof/>
                <w:webHidden/>
                <w:sz w:val="40"/>
                <w:szCs w:val="40"/>
              </w:rPr>
              <w:t>4</w:t>
            </w:r>
            <w:r w:rsidRPr="003B32F5">
              <w:rPr>
                <w:noProof/>
                <w:webHidden/>
                <w:sz w:val="40"/>
                <w:szCs w:val="40"/>
              </w:rPr>
              <w:fldChar w:fldCharType="end"/>
            </w:r>
          </w:hyperlink>
        </w:p>
        <w:p w14:paraId="39D79DD3" w14:textId="4191F84A" w:rsidR="003B32F5" w:rsidRPr="003B32F5" w:rsidRDefault="00000000" w:rsidP="003B32F5">
          <w:pPr>
            <w:pStyle w:val="TOC1"/>
            <w:tabs>
              <w:tab w:val="left" w:pos="440"/>
              <w:tab w:val="right" w:leader="dot" w:pos="9182"/>
            </w:tabs>
            <w:spacing w:line="480" w:lineRule="auto"/>
            <w:rPr>
              <w:rFonts w:asciiTheme="minorHAnsi" w:eastAsiaTheme="minorEastAsia" w:hAnsiTheme="minorHAnsi"/>
              <w:noProof/>
              <w:sz w:val="40"/>
              <w:szCs w:val="40"/>
              <w:lang w:eastAsia="en-AU"/>
            </w:rPr>
          </w:pPr>
          <w:hyperlink w:anchor="_Toc125378620" w:history="1">
            <w:r w:rsidR="003B32F5" w:rsidRPr="003B32F5">
              <w:rPr>
                <w:rStyle w:val="Hyperlink"/>
                <w:noProof/>
                <w:sz w:val="40"/>
                <w:szCs w:val="40"/>
              </w:rPr>
              <w:t>2.</w:t>
            </w:r>
            <w:r w:rsidR="003B32F5" w:rsidRPr="003B32F5">
              <w:rPr>
                <w:rFonts w:asciiTheme="minorHAnsi" w:eastAsiaTheme="minorEastAsia" w:hAnsiTheme="minorHAnsi"/>
                <w:noProof/>
                <w:sz w:val="40"/>
                <w:szCs w:val="40"/>
                <w:lang w:eastAsia="en-AU"/>
              </w:rPr>
              <w:tab/>
            </w:r>
            <w:r w:rsidR="003B32F5" w:rsidRPr="003B32F5">
              <w:rPr>
                <w:rStyle w:val="Hyperlink"/>
                <w:noProof/>
                <w:sz w:val="40"/>
                <w:szCs w:val="40"/>
              </w:rPr>
              <w:t>Background</w:t>
            </w:r>
            <w:r w:rsidR="003B32F5" w:rsidRPr="003B32F5">
              <w:rPr>
                <w:noProof/>
                <w:webHidden/>
                <w:sz w:val="40"/>
                <w:szCs w:val="40"/>
              </w:rPr>
              <w:tab/>
            </w:r>
            <w:r w:rsidR="003B32F5" w:rsidRPr="003B32F5">
              <w:rPr>
                <w:noProof/>
                <w:webHidden/>
                <w:sz w:val="40"/>
                <w:szCs w:val="40"/>
              </w:rPr>
              <w:fldChar w:fldCharType="begin"/>
            </w:r>
            <w:r w:rsidR="003B32F5" w:rsidRPr="003B32F5">
              <w:rPr>
                <w:noProof/>
                <w:webHidden/>
                <w:sz w:val="40"/>
                <w:szCs w:val="40"/>
              </w:rPr>
              <w:instrText xml:space="preserve"> PAGEREF _Toc125378620 \h </w:instrText>
            </w:r>
            <w:r w:rsidR="003B32F5" w:rsidRPr="003B32F5">
              <w:rPr>
                <w:noProof/>
                <w:webHidden/>
                <w:sz w:val="40"/>
                <w:szCs w:val="40"/>
              </w:rPr>
            </w:r>
            <w:r w:rsidR="003B32F5" w:rsidRPr="003B32F5">
              <w:rPr>
                <w:noProof/>
                <w:webHidden/>
                <w:sz w:val="40"/>
                <w:szCs w:val="40"/>
              </w:rPr>
              <w:fldChar w:fldCharType="separate"/>
            </w:r>
            <w:r w:rsidR="00A2046F">
              <w:rPr>
                <w:noProof/>
                <w:webHidden/>
                <w:sz w:val="40"/>
                <w:szCs w:val="40"/>
              </w:rPr>
              <w:t>4</w:t>
            </w:r>
            <w:r w:rsidR="003B32F5" w:rsidRPr="003B32F5">
              <w:rPr>
                <w:noProof/>
                <w:webHidden/>
                <w:sz w:val="40"/>
                <w:szCs w:val="40"/>
              </w:rPr>
              <w:fldChar w:fldCharType="end"/>
            </w:r>
          </w:hyperlink>
        </w:p>
        <w:p w14:paraId="1FCE6A31" w14:textId="2CD5F41B" w:rsidR="003B32F5" w:rsidRPr="003B32F5" w:rsidRDefault="00000000" w:rsidP="003B32F5">
          <w:pPr>
            <w:pStyle w:val="TOC1"/>
            <w:tabs>
              <w:tab w:val="left" w:pos="440"/>
              <w:tab w:val="right" w:leader="dot" w:pos="9182"/>
            </w:tabs>
            <w:spacing w:line="480" w:lineRule="auto"/>
            <w:rPr>
              <w:rFonts w:asciiTheme="minorHAnsi" w:eastAsiaTheme="minorEastAsia" w:hAnsiTheme="minorHAnsi"/>
              <w:noProof/>
              <w:sz w:val="40"/>
              <w:szCs w:val="40"/>
              <w:lang w:eastAsia="en-AU"/>
            </w:rPr>
          </w:pPr>
          <w:hyperlink w:anchor="_Toc125378621" w:history="1">
            <w:r w:rsidR="003B32F5" w:rsidRPr="003B32F5">
              <w:rPr>
                <w:rStyle w:val="Hyperlink"/>
                <w:noProof/>
                <w:sz w:val="40"/>
                <w:szCs w:val="40"/>
              </w:rPr>
              <w:t>3.</w:t>
            </w:r>
            <w:r w:rsidR="003B32F5" w:rsidRPr="003B32F5">
              <w:rPr>
                <w:rFonts w:asciiTheme="minorHAnsi" w:eastAsiaTheme="minorEastAsia" w:hAnsiTheme="minorHAnsi"/>
                <w:noProof/>
                <w:sz w:val="40"/>
                <w:szCs w:val="40"/>
                <w:lang w:eastAsia="en-AU"/>
              </w:rPr>
              <w:tab/>
            </w:r>
            <w:r w:rsidR="003B32F5" w:rsidRPr="003B32F5">
              <w:rPr>
                <w:rStyle w:val="Hyperlink"/>
                <w:noProof/>
                <w:sz w:val="40"/>
                <w:szCs w:val="40"/>
              </w:rPr>
              <w:t>Processes</w:t>
            </w:r>
            <w:r w:rsidR="003B32F5" w:rsidRPr="003B32F5">
              <w:rPr>
                <w:noProof/>
                <w:webHidden/>
                <w:sz w:val="40"/>
                <w:szCs w:val="40"/>
              </w:rPr>
              <w:tab/>
            </w:r>
            <w:r w:rsidR="003B32F5" w:rsidRPr="003B32F5">
              <w:rPr>
                <w:noProof/>
                <w:webHidden/>
                <w:sz w:val="40"/>
                <w:szCs w:val="40"/>
              </w:rPr>
              <w:fldChar w:fldCharType="begin"/>
            </w:r>
            <w:r w:rsidR="003B32F5" w:rsidRPr="003B32F5">
              <w:rPr>
                <w:noProof/>
                <w:webHidden/>
                <w:sz w:val="40"/>
                <w:szCs w:val="40"/>
              </w:rPr>
              <w:instrText xml:space="preserve"> PAGEREF _Toc125378621 \h </w:instrText>
            </w:r>
            <w:r w:rsidR="003B32F5" w:rsidRPr="003B32F5">
              <w:rPr>
                <w:noProof/>
                <w:webHidden/>
                <w:sz w:val="40"/>
                <w:szCs w:val="40"/>
              </w:rPr>
            </w:r>
            <w:r w:rsidR="003B32F5" w:rsidRPr="003B32F5">
              <w:rPr>
                <w:noProof/>
                <w:webHidden/>
                <w:sz w:val="40"/>
                <w:szCs w:val="40"/>
              </w:rPr>
              <w:fldChar w:fldCharType="separate"/>
            </w:r>
            <w:r w:rsidR="00A2046F">
              <w:rPr>
                <w:noProof/>
                <w:webHidden/>
                <w:sz w:val="40"/>
                <w:szCs w:val="40"/>
              </w:rPr>
              <w:t>6</w:t>
            </w:r>
            <w:r w:rsidR="003B32F5" w:rsidRPr="003B32F5">
              <w:rPr>
                <w:noProof/>
                <w:webHidden/>
                <w:sz w:val="40"/>
                <w:szCs w:val="40"/>
              </w:rPr>
              <w:fldChar w:fldCharType="end"/>
            </w:r>
          </w:hyperlink>
        </w:p>
        <w:p w14:paraId="4CCC98AA" w14:textId="2C4E5DFF" w:rsidR="003B32F5" w:rsidRPr="003B32F5" w:rsidRDefault="00000000" w:rsidP="003B32F5">
          <w:pPr>
            <w:pStyle w:val="TOC1"/>
            <w:tabs>
              <w:tab w:val="left" w:pos="440"/>
              <w:tab w:val="right" w:leader="dot" w:pos="9182"/>
            </w:tabs>
            <w:spacing w:line="480" w:lineRule="auto"/>
            <w:rPr>
              <w:rFonts w:asciiTheme="minorHAnsi" w:eastAsiaTheme="minorEastAsia" w:hAnsiTheme="minorHAnsi"/>
              <w:noProof/>
              <w:sz w:val="40"/>
              <w:szCs w:val="40"/>
              <w:lang w:eastAsia="en-AU"/>
            </w:rPr>
          </w:pPr>
          <w:hyperlink w:anchor="_Toc125378622" w:history="1">
            <w:r w:rsidR="003B32F5" w:rsidRPr="003B32F5">
              <w:rPr>
                <w:rStyle w:val="Hyperlink"/>
                <w:noProof/>
                <w:sz w:val="40"/>
                <w:szCs w:val="40"/>
              </w:rPr>
              <w:t>4.</w:t>
            </w:r>
            <w:r w:rsidR="003B32F5" w:rsidRPr="003B32F5">
              <w:rPr>
                <w:rFonts w:asciiTheme="minorHAnsi" w:eastAsiaTheme="minorEastAsia" w:hAnsiTheme="minorHAnsi"/>
                <w:noProof/>
                <w:sz w:val="40"/>
                <w:szCs w:val="40"/>
                <w:lang w:eastAsia="en-AU"/>
              </w:rPr>
              <w:tab/>
            </w:r>
            <w:r w:rsidR="003B32F5" w:rsidRPr="003B32F5">
              <w:rPr>
                <w:rStyle w:val="Hyperlink"/>
                <w:noProof/>
                <w:sz w:val="40"/>
                <w:szCs w:val="40"/>
              </w:rPr>
              <w:t>References and related documents</w:t>
            </w:r>
            <w:r w:rsidR="003B32F5" w:rsidRPr="003B32F5">
              <w:rPr>
                <w:noProof/>
                <w:webHidden/>
                <w:sz w:val="40"/>
                <w:szCs w:val="40"/>
              </w:rPr>
              <w:tab/>
            </w:r>
            <w:r w:rsidR="003B32F5" w:rsidRPr="003B32F5">
              <w:rPr>
                <w:noProof/>
                <w:webHidden/>
                <w:sz w:val="40"/>
                <w:szCs w:val="40"/>
              </w:rPr>
              <w:fldChar w:fldCharType="begin"/>
            </w:r>
            <w:r w:rsidR="003B32F5" w:rsidRPr="003B32F5">
              <w:rPr>
                <w:noProof/>
                <w:webHidden/>
                <w:sz w:val="40"/>
                <w:szCs w:val="40"/>
              </w:rPr>
              <w:instrText xml:space="preserve"> PAGEREF _Toc125378622 \h </w:instrText>
            </w:r>
            <w:r w:rsidR="003B32F5" w:rsidRPr="003B32F5">
              <w:rPr>
                <w:noProof/>
                <w:webHidden/>
                <w:sz w:val="40"/>
                <w:szCs w:val="40"/>
              </w:rPr>
            </w:r>
            <w:r w:rsidR="003B32F5" w:rsidRPr="003B32F5">
              <w:rPr>
                <w:noProof/>
                <w:webHidden/>
                <w:sz w:val="40"/>
                <w:szCs w:val="40"/>
              </w:rPr>
              <w:fldChar w:fldCharType="separate"/>
            </w:r>
            <w:r w:rsidR="00A2046F">
              <w:rPr>
                <w:noProof/>
                <w:webHidden/>
                <w:sz w:val="40"/>
                <w:szCs w:val="40"/>
              </w:rPr>
              <w:t>8</w:t>
            </w:r>
            <w:r w:rsidR="003B32F5" w:rsidRPr="003B32F5">
              <w:rPr>
                <w:noProof/>
                <w:webHidden/>
                <w:sz w:val="40"/>
                <w:szCs w:val="40"/>
              </w:rPr>
              <w:fldChar w:fldCharType="end"/>
            </w:r>
          </w:hyperlink>
        </w:p>
        <w:p w14:paraId="025997F4" w14:textId="6A8C12D4" w:rsidR="00790475" w:rsidRDefault="003B32F5" w:rsidP="00A60D73">
          <w:r>
            <w:fldChar w:fldCharType="end"/>
          </w:r>
        </w:p>
      </w:sdtContent>
    </w:sdt>
    <w:p w14:paraId="6F609069" w14:textId="6690FAD0" w:rsidR="00790475" w:rsidRDefault="00790475" w:rsidP="00A60D73">
      <w:r>
        <w:br w:type="page"/>
      </w:r>
    </w:p>
    <w:p w14:paraId="62F2E257" w14:textId="083099E3" w:rsidR="00790475" w:rsidRPr="00EE0CBC" w:rsidRDefault="00790475" w:rsidP="00EE0CBC">
      <w:pPr>
        <w:pStyle w:val="BodyText"/>
        <w:rPr>
          <w:b/>
          <w:bCs/>
          <w:color w:val="2C5C86"/>
          <w:sz w:val="32"/>
          <w:szCs w:val="32"/>
        </w:rPr>
      </w:pPr>
      <w:r w:rsidRPr="00EE0CBC">
        <w:rPr>
          <w:b/>
          <w:bCs/>
          <w:color w:val="2C5C86"/>
          <w:sz w:val="32"/>
          <w:szCs w:val="32"/>
        </w:rPr>
        <w:lastRenderedPageBreak/>
        <w:t>Document control</w:t>
      </w:r>
    </w:p>
    <w:tbl>
      <w:tblPr>
        <w:tblStyle w:val="TableGrid"/>
        <w:tblW w:w="0" w:type="auto"/>
        <w:tblLook w:val="04A0" w:firstRow="1" w:lastRow="0" w:firstColumn="1" w:lastColumn="0" w:noHBand="0" w:noVBand="1"/>
      </w:tblPr>
      <w:tblGrid>
        <w:gridCol w:w="3345"/>
        <w:gridCol w:w="5837"/>
      </w:tblGrid>
      <w:tr w:rsidR="00790475" w14:paraId="3C07D45E" w14:textId="77777777" w:rsidTr="00790475">
        <w:trPr>
          <w:trHeight w:val="394"/>
        </w:trPr>
        <w:tc>
          <w:tcPr>
            <w:tcW w:w="3397" w:type="dxa"/>
            <w:shd w:val="clear" w:color="auto" w:fill="F2F2F2" w:themeFill="background1" w:themeFillShade="F2"/>
          </w:tcPr>
          <w:p w14:paraId="41B87AF8" w14:textId="40E71E86" w:rsidR="00790475" w:rsidRPr="00790475" w:rsidRDefault="00790475" w:rsidP="00A60D73">
            <w:r w:rsidRPr="00790475">
              <w:t>Publication date</w:t>
            </w:r>
          </w:p>
        </w:tc>
        <w:tc>
          <w:tcPr>
            <w:tcW w:w="5959" w:type="dxa"/>
          </w:tcPr>
          <w:p w14:paraId="5D525EB3" w14:textId="37945346" w:rsidR="00790475" w:rsidRPr="00790475" w:rsidRDefault="004007C3" w:rsidP="00A60D73">
            <w:r>
              <w:t>August 2024</w:t>
            </w:r>
          </w:p>
        </w:tc>
      </w:tr>
      <w:tr w:rsidR="00790475" w14:paraId="16020DFF" w14:textId="77777777" w:rsidTr="00790475">
        <w:trPr>
          <w:trHeight w:val="394"/>
        </w:trPr>
        <w:tc>
          <w:tcPr>
            <w:tcW w:w="3397" w:type="dxa"/>
            <w:shd w:val="clear" w:color="auto" w:fill="F2F2F2" w:themeFill="background1" w:themeFillShade="F2"/>
          </w:tcPr>
          <w:p w14:paraId="136ADDBD" w14:textId="76664FD7" w:rsidR="00790475" w:rsidRPr="00790475" w:rsidRDefault="00790475" w:rsidP="00A60D73">
            <w:r>
              <w:t>Review date</w:t>
            </w:r>
          </w:p>
        </w:tc>
        <w:tc>
          <w:tcPr>
            <w:tcW w:w="5959" w:type="dxa"/>
          </w:tcPr>
          <w:p w14:paraId="05C948FF" w14:textId="504B6A30" w:rsidR="00790475" w:rsidRPr="00790475" w:rsidRDefault="00EA2571" w:rsidP="00A60D73">
            <w:r>
              <w:t>June</w:t>
            </w:r>
            <w:r w:rsidR="00227447">
              <w:t xml:space="preserve"> 202</w:t>
            </w:r>
            <w:r w:rsidR="004007C3">
              <w:t>5</w:t>
            </w:r>
          </w:p>
        </w:tc>
      </w:tr>
      <w:tr w:rsidR="00790475" w14:paraId="76E00303" w14:textId="77777777" w:rsidTr="00790475">
        <w:trPr>
          <w:trHeight w:val="394"/>
        </w:trPr>
        <w:tc>
          <w:tcPr>
            <w:tcW w:w="3397" w:type="dxa"/>
            <w:shd w:val="clear" w:color="auto" w:fill="F2F2F2" w:themeFill="background1" w:themeFillShade="F2"/>
          </w:tcPr>
          <w:p w14:paraId="67DF9B51" w14:textId="7378C3B6" w:rsidR="00790475" w:rsidRPr="00790475" w:rsidRDefault="00790475" w:rsidP="00A60D73">
            <w:r>
              <w:t>Owner</w:t>
            </w:r>
          </w:p>
        </w:tc>
        <w:tc>
          <w:tcPr>
            <w:tcW w:w="5959" w:type="dxa"/>
          </w:tcPr>
          <w:p w14:paraId="08566EA9" w14:textId="49FDD739" w:rsidR="00790475" w:rsidRPr="00790475" w:rsidRDefault="00790475" w:rsidP="00A60D73">
            <w:r w:rsidRPr="00790475">
              <w:t>Executive Director, Office of Disability</w:t>
            </w:r>
          </w:p>
        </w:tc>
      </w:tr>
      <w:tr w:rsidR="00790475" w14:paraId="145A1496" w14:textId="77777777" w:rsidTr="00790475">
        <w:trPr>
          <w:trHeight w:val="394"/>
        </w:trPr>
        <w:tc>
          <w:tcPr>
            <w:tcW w:w="3397" w:type="dxa"/>
            <w:shd w:val="clear" w:color="auto" w:fill="F2F2F2" w:themeFill="background1" w:themeFillShade="F2"/>
          </w:tcPr>
          <w:p w14:paraId="0AE07E15" w14:textId="4767E4B0" w:rsidR="00790475" w:rsidRPr="00790475" w:rsidRDefault="00790475" w:rsidP="00A60D73">
            <w:r>
              <w:t>Custodian</w:t>
            </w:r>
          </w:p>
        </w:tc>
        <w:tc>
          <w:tcPr>
            <w:tcW w:w="5959" w:type="dxa"/>
          </w:tcPr>
          <w:p w14:paraId="6151A5FF" w14:textId="732E49F6" w:rsidR="00790475" w:rsidRPr="00790475" w:rsidRDefault="00CD7C51" w:rsidP="00A60D73">
            <w:r>
              <w:t>Office of Disability,</w:t>
            </w:r>
            <w:r w:rsidR="00227447">
              <w:t xml:space="preserve"> </w:t>
            </w:r>
            <w:r>
              <w:t>Manager Strategy and Policy</w:t>
            </w:r>
          </w:p>
        </w:tc>
      </w:tr>
    </w:tbl>
    <w:p w14:paraId="4B8C4B24" w14:textId="44CB2488" w:rsidR="00790475" w:rsidRDefault="00790475" w:rsidP="00EE0CBC">
      <w:pPr>
        <w:pStyle w:val="BodyText"/>
      </w:pPr>
    </w:p>
    <w:p w14:paraId="404557A3" w14:textId="5AD2123D" w:rsidR="00790475" w:rsidRPr="00EE0CBC" w:rsidRDefault="00790475" w:rsidP="00EE0CBC">
      <w:pPr>
        <w:pStyle w:val="BodyText"/>
        <w:rPr>
          <w:b/>
          <w:bCs/>
          <w:color w:val="2C5C86"/>
          <w:sz w:val="32"/>
          <w:szCs w:val="32"/>
        </w:rPr>
      </w:pPr>
      <w:r w:rsidRPr="00EE0CBC">
        <w:rPr>
          <w:b/>
          <w:bCs/>
          <w:color w:val="2C5C86"/>
          <w:sz w:val="32"/>
          <w:szCs w:val="32"/>
        </w:rPr>
        <w:t>Amendments</w:t>
      </w:r>
    </w:p>
    <w:tbl>
      <w:tblPr>
        <w:tblStyle w:val="TableGrid"/>
        <w:tblW w:w="0" w:type="auto"/>
        <w:tblLook w:val="04A0" w:firstRow="1" w:lastRow="0" w:firstColumn="1" w:lastColumn="0" w:noHBand="0" w:noVBand="1"/>
      </w:tblPr>
      <w:tblGrid>
        <w:gridCol w:w="1817"/>
        <w:gridCol w:w="1829"/>
        <w:gridCol w:w="2763"/>
        <w:gridCol w:w="2773"/>
      </w:tblGrid>
      <w:tr w:rsidR="00CD7C51" w14:paraId="3E80F68C" w14:textId="77777777" w:rsidTr="00CD7C51">
        <w:trPr>
          <w:trHeight w:val="461"/>
        </w:trPr>
        <w:tc>
          <w:tcPr>
            <w:tcW w:w="1817" w:type="dxa"/>
            <w:shd w:val="clear" w:color="auto" w:fill="F2F2F2" w:themeFill="background1" w:themeFillShade="F2"/>
          </w:tcPr>
          <w:p w14:paraId="55659303" w14:textId="0CF8BC71" w:rsidR="00790475" w:rsidRPr="00790475" w:rsidRDefault="00790475" w:rsidP="00A60D73">
            <w:r w:rsidRPr="00790475">
              <w:t>Version</w:t>
            </w:r>
          </w:p>
        </w:tc>
        <w:tc>
          <w:tcPr>
            <w:tcW w:w="1829" w:type="dxa"/>
            <w:shd w:val="clear" w:color="auto" w:fill="F2F2F2" w:themeFill="background1" w:themeFillShade="F2"/>
          </w:tcPr>
          <w:p w14:paraId="34C5B6A1" w14:textId="24D5DEB1" w:rsidR="00790475" w:rsidRPr="00790475" w:rsidRDefault="00790475" w:rsidP="00A60D73">
            <w:r w:rsidRPr="00790475">
              <w:t>Date</w:t>
            </w:r>
          </w:p>
        </w:tc>
        <w:tc>
          <w:tcPr>
            <w:tcW w:w="2763" w:type="dxa"/>
            <w:shd w:val="clear" w:color="auto" w:fill="F2F2F2" w:themeFill="background1" w:themeFillShade="F2"/>
          </w:tcPr>
          <w:p w14:paraId="1FFBFE7B" w14:textId="3FC183BA" w:rsidR="00790475" w:rsidRPr="00790475" w:rsidRDefault="00790475" w:rsidP="00A60D73">
            <w:r w:rsidRPr="00790475">
              <w:t>Author</w:t>
            </w:r>
          </w:p>
        </w:tc>
        <w:tc>
          <w:tcPr>
            <w:tcW w:w="2773" w:type="dxa"/>
            <w:shd w:val="clear" w:color="auto" w:fill="F2F2F2" w:themeFill="background1" w:themeFillShade="F2"/>
          </w:tcPr>
          <w:p w14:paraId="215E6CCF" w14:textId="6D5CDF65" w:rsidR="00790475" w:rsidRPr="00790475" w:rsidRDefault="00790475" w:rsidP="00A60D73">
            <w:r w:rsidRPr="00790475">
              <w:t>Description</w:t>
            </w:r>
          </w:p>
        </w:tc>
      </w:tr>
      <w:tr w:rsidR="00790475" w14:paraId="178CE19C" w14:textId="77777777" w:rsidTr="00CD7C51">
        <w:trPr>
          <w:trHeight w:val="461"/>
        </w:trPr>
        <w:tc>
          <w:tcPr>
            <w:tcW w:w="1817" w:type="dxa"/>
          </w:tcPr>
          <w:p w14:paraId="747F3F49" w14:textId="05AEA6D9" w:rsidR="00790475" w:rsidRPr="00790475" w:rsidRDefault="00CD7C51" w:rsidP="00A60D73">
            <w:r>
              <w:t>0.1</w:t>
            </w:r>
          </w:p>
        </w:tc>
        <w:tc>
          <w:tcPr>
            <w:tcW w:w="1829" w:type="dxa"/>
          </w:tcPr>
          <w:p w14:paraId="50ABB8F9" w14:textId="18437A8C" w:rsidR="00790475" w:rsidRPr="00790475" w:rsidRDefault="00CD7C51" w:rsidP="00A60D73">
            <w:r>
              <w:t>3.2.2023</w:t>
            </w:r>
          </w:p>
        </w:tc>
        <w:tc>
          <w:tcPr>
            <w:tcW w:w="2763" w:type="dxa"/>
          </w:tcPr>
          <w:p w14:paraId="66E40032" w14:textId="714AFAD3" w:rsidR="00790475" w:rsidRPr="00790475" w:rsidRDefault="00CD7C51" w:rsidP="00A60D73">
            <w:r>
              <w:t>Manager, Strategy and Policy</w:t>
            </w:r>
          </w:p>
        </w:tc>
        <w:tc>
          <w:tcPr>
            <w:tcW w:w="2773" w:type="dxa"/>
          </w:tcPr>
          <w:p w14:paraId="53E872E7" w14:textId="73EF85C1" w:rsidR="00790475" w:rsidRPr="00790475" w:rsidRDefault="00CD7C51" w:rsidP="00A60D73">
            <w:r>
              <w:t>Draft 1 to Board meeting</w:t>
            </w:r>
          </w:p>
        </w:tc>
      </w:tr>
      <w:tr w:rsidR="00CD7C51" w14:paraId="0646F7BB" w14:textId="77777777" w:rsidTr="00336296">
        <w:trPr>
          <w:trHeight w:val="461"/>
        </w:trPr>
        <w:tc>
          <w:tcPr>
            <w:tcW w:w="1817" w:type="dxa"/>
            <w:shd w:val="clear" w:color="auto" w:fill="auto"/>
          </w:tcPr>
          <w:p w14:paraId="2B10BFC8" w14:textId="63E33114" w:rsidR="00CD7C51" w:rsidRDefault="00CD7C51" w:rsidP="00CD7C51">
            <w:r>
              <w:t>1</w:t>
            </w:r>
          </w:p>
        </w:tc>
        <w:tc>
          <w:tcPr>
            <w:tcW w:w="1829" w:type="dxa"/>
            <w:shd w:val="clear" w:color="auto" w:fill="auto"/>
          </w:tcPr>
          <w:p w14:paraId="3C9A210A" w14:textId="759B6AAA" w:rsidR="00CD7C51" w:rsidRPr="00790475" w:rsidRDefault="00EA2571" w:rsidP="00CD7C51">
            <w:r>
              <w:t>2.6.2023</w:t>
            </w:r>
          </w:p>
        </w:tc>
        <w:tc>
          <w:tcPr>
            <w:tcW w:w="2763" w:type="dxa"/>
            <w:shd w:val="clear" w:color="auto" w:fill="auto"/>
          </w:tcPr>
          <w:p w14:paraId="7FF25E1C" w14:textId="7DE06D44" w:rsidR="00CD7C51" w:rsidRPr="00790475" w:rsidRDefault="00EA2571" w:rsidP="00CD7C51">
            <w:r>
              <w:t>Manager, Strategy and Policy</w:t>
            </w:r>
          </w:p>
        </w:tc>
        <w:tc>
          <w:tcPr>
            <w:tcW w:w="2773" w:type="dxa"/>
            <w:shd w:val="clear" w:color="auto" w:fill="auto"/>
          </w:tcPr>
          <w:p w14:paraId="10116471" w14:textId="6B366DCF" w:rsidR="00CD7C51" w:rsidRPr="00790475" w:rsidRDefault="00EA2571" w:rsidP="00CD7C51">
            <w:r>
              <w:t>Endorsed</w:t>
            </w:r>
          </w:p>
        </w:tc>
      </w:tr>
      <w:tr w:rsidR="00CD7C51" w14:paraId="43A2E7CB" w14:textId="77777777" w:rsidTr="00CD7C51">
        <w:trPr>
          <w:trHeight w:val="461"/>
        </w:trPr>
        <w:tc>
          <w:tcPr>
            <w:tcW w:w="1817" w:type="dxa"/>
          </w:tcPr>
          <w:p w14:paraId="12B7E169" w14:textId="799F393F" w:rsidR="00CD7C51" w:rsidRPr="00790475" w:rsidRDefault="00CD7C51" w:rsidP="00CD7C51">
            <w:r>
              <w:t>2</w:t>
            </w:r>
          </w:p>
        </w:tc>
        <w:tc>
          <w:tcPr>
            <w:tcW w:w="1829" w:type="dxa"/>
          </w:tcPr>
          <w:p w14:paraId="334F346A" w14:textId="78359165" w:rsidR="00CD7C51" w:rsidRPr="00790475" w:rsidRDefault="004007C3" w:rsidP="00CD7C51">
            <w:r>
              <w:t>2.8.2024</w:t>
            </w:r>
          </w:p>
        </w:tc>
        <w:tc>
          <w:tcPr>
            <w:tcW w:w="2763" w:type="dxa"/>
          </w:tcPr>
          <w:p w14:paraId="009A93FD" w14:textId="3A17C75A" w:rsidR="00CD7C51" w:rsidRPr="00790475" w:rsidRDefault="004007C3" w:rsidP="00CD7C51">
            <w:r>
              <w:t>Manager, Strategy and Policy</w:t>
            </w:r>
          </w:p>
        </w:tc>
        <w:tc>
          <w:tcPr>
            <w:tcW w:w="2773" w:type="dxa"/>
          </w:tcPr>
          <w:p w14:paraId="452BFD58" w14:textId="08E25E52" w:rsidR="00CD7C51" w:rsidRPr="00790475" w:rsidRDefault="004007C3" w:rsidP="00CD7C51">
            <w:r>
              <w:t>First annual review</w:t>
            </w:r>
          </w:p>
        </w:tc>
      </w:tr>
      <w:tr w:rsidR="00CD7C51" w14:paraId="20A10EDA" w14:textId="77777777" w:rsidTr="00CD7C51">
        <w:trPr>
          <w:trHeight w:val="461"/>
        </w:trPr>
        <w:tc>
          <w:tcPr>
            <w:tcW w:w="1817" w:type="dxa"/>
          </w:tcPr>
          <w:p w14:paraId="5BA33F58" w14:textId="6C642D94" w:rsidR="00CD7C51" w:rsidRPr="00790475" w:rsidRDefault="00CD7C51" w:rsidP="00CD7C51">
            <w:r>
              <w:t>3</w:t>
            </w:r>
          </w:p>
        </w:tc>
        <w:tc>
          <w:tcPr>
            <w:tcW w:w="1829" w:type="dxa"/>
          </w:tcPr>
          <w:p w14:paraId="20C202B0" w14:textId="3180DBE1" w:rsidR="00CD7C51" w:rsidRPr="00790475" w:rsidRDefault="00CD7C51" w:rsidP="00CD7C51">
            <w:r w:rsidRPr="00790475">
              <w:t>Month/year</w:t>
            </w:r>
          </w:p>
        </w:tc>
        <w:tc>
          <w:tcPr>
            <w:tcW w:w="2763" w:type="dxa"/>
          </w:tcPr>
          <w:p w14:paraId="4DEDED1B" w14:textId="378021A1" w:rsidR="00CD7C51" w:rsidRPr="00790475" w:rsidRDefault="00CD7C51" w:rsidP="00CD7C51">
            <w:r w:rsidRPr="00790475">
              <w:t>[position title – not name]</w:t>
            </w:r>
          </w:p>
        </w:tc>
        <w:tc>
          <w:tcPr>
            <w:tcW w:w="2773" w:type="dxa"/>
          </w:tcPr>
          <w:p w14:paraId="3BAE167A" w14:textId="77777777" w:rsidR="00CD7C51" w:rsidRPr="00790475" w:rsidRDefault="00CD7C51" w:rsidP="00CD7C51"/>
        </w:tc>
      </w:tr>
      <w:tr w:rsidR="00CD7C51" w14:paraId="2108231E" w14:textId="77777777" w:rsidTr="00CD7C51">
        <w:trPr>
          <w:trHeight w:val="461"/>
        </w:trPr>
        <w:tc>
          <w:tcPr>
            <w:tcW w:w="1817" w:type="dxa"/>
          </w:tcPr>
          <w:p w14:paraId="051676CA" w14:textId="514B80F6" w:rsidR="00CD7C51" w:rsidRDefault="00CD7C51" w:rsidP="00CD7C51">
            <w:r>
              <w:t>4</w:t>
            </w:r>
          </w:p>
        </w:tc>
        <w:tc>
          <w:tcPr>
            <w:tcW w:w="1829" w:type="dxa"/>
          </w:tcPr>
          <w:p w14:paraId="49D7D8BB" w14:textId="50380446" w:rsidR="00CD7C51" w:rsidRPr="00790475" w:rsidRDefault="00CD7C51" w:rsidP="00CD7C51">
            <w:r w:rsidRPr="00790475">
              <w:t>Month/year</w:t>
            </w:r>
          </w:p>
        </w:tc>
        <w:tc>
          <w:tcPr>
            <w:tcW w:w="2763" w:type="dxa"/>
          </w:tcPr>
          <w:p w14:paraId="78A2645C" w14:textId="1008CB1F" w:rsidR="00CD7C51" w:rsidRPr="00790475" w:rsidRDefault="00CD7C51" w:rsidP="00CD7C51">
            <w:r w:rsidRPr="00790475">
              <w:t>[position title – not name]</w:t>
            </w:r>
          </w:p>
        </w:tc>
        <w:tc>
          <w:tcPr>
            <w:tcW w:w="2773" w:type="dxa"/>
          </w:tcPr>
          <w:p w14:paraId="08F102E1" w14:textId="77777777" w:rsidR="00CD7C51" w:rsidRPr="00790475" w:rsidRDefault="00CD7C51" w:rsidP="00CD7C51"/>
        </w:tc>
      </w:tr>
      <w:tr w:rsidR="00CD7C51" w14:paraId="001A0B6C" w14:textId="77777777" w:rsidTr="00CD7C51">
        <w:trPr>
          <w:trHeight w:val="461"/>
        </w:trPr>
        <w:tc>
          <w:tcPr>
            <w:tcW w:w="1817" w:type="dxa"/>
          </w:tcPr>
          <w:p w14:paraId="47E04A12" w14:textId="589F4837" w:rsidR="00CD7C51" w:rsidRDefault="00CD7C51" w:rsidP="00CD7C51">
            <w:r>
              <w:t>5</w:t>
            </w:r>
          </w:p>
        </w:tc>
        <w:tc>
          <w:tcPr>
            <w:tcW w:w="1829" w:type="dxa"/>
          </w:tcPr>
          <w:p w14:paraId="028671AE" w14:textId="0234EF6D" w:rsidR="00CD7C51" w:rsidRPr="00790475" w:rsidRDefault="00CD7C51" w:rsidP="00CD7C51">
            <w:r w:rsidRPr="00790475">
              <w:t>Month/year</w:t>
            </w:r>
          </w:p>
        </w:tc>
        <w:tc>
          <w:tcPr>
            <w:tcW w:w="2763" w:type="dxa"/>
          </w:tcPr>
          <w:p w14:paraId="7AC3CB37" w14:textId="43D1DD20" w:rsidR="00CD7C51" w:rsidRPr="00790475" w:rsidRDefault="00CD7C51" w:rsidP="00CD7C51">
            <w:r w:rsidRPr="00790475">
              <w:t>[position title – not name]</w:t>
            </w:r>
          </w:p>
        </w:tc>
        <w:tc>
          <w:tcPr>
            <w:tcW w:w="2773" w:type="dxa"/>
          </w:tcPr>
          <w:p w14:paraId="4458073A" w14:textId="77777777" w:rsidR="00CD7C51" w:rsidRPr="00790475" w:rsidRDefault="00CD7C51" w:rsidP="00CD7C51"/>
        </w:tc>
      </w:tr>
    </w:tbl>
    <w:p w14:paraId="48128633" w14:textId="7F89DC2A" w:rsidR="00790475" w:rsidRDefault="00790475" w:rsidP="00A60D73"/>
    <w:p w14:paraId="5428E9F9" w14:textId="7914B9EE" w:rsidR="00A47A06" w:rsidRPr="00EE0CBC" w:rsidRDefault="00790475" w:rsidP="00A47A06">
      <w:pPr>
        <w:pStyle w:val="TOCHeading"/>
        <w:numPr>
          <w:ilvl w:val="0"/>
          <w:numId w:val="0"/>
        </w:numPr>
        <w:ind w:left="720" w:hanging="360"/>
        <w:rPr>
          <w:b w:val="0"/>
          <w:bCs w:val="0"/>
          <w:sz w:val="28"/>
          <w:szCs w:val="28"/>
        </w:rPr>
      </w:pPr>
      <w:r>
        <w:br w:type="page"/>
      </w:r>
    </w:p>
    <w:p w14:paraId="4C945102" w14:textId="77777777" w:rsidR="00EE0CBC" w:rsidRPr="00C5728D" w:rsidRDefault="00EE0CBC" w:rsidP="00EE0CBC">
      <w:pPr>
        <w:pStyle w:val="Heading1"/>
      </w:pPr>
      <w:bookmarkStart w:id="0" w:name="_Toc125025974"/>
      <w:bookmarkStart w:id="1" w:name="_Toc125378619"/>
      <w:bookmarkStart w:id="2" w:name="_Toc80696555"/>
      <w:r w:rsidRPr="00C5728D">
        <w:lastRenderedPageBreak/>
        <w:t>Definitions</w:t>
      </w:r>
      <w:bookmarkEnd w:id="0"/>
      <w:bookmarkEnd w:id="1"/>
    </w:p>
    <w:p w14:paraId="70F48E2B" w14:textId="77777777" w:rsidR="00EE0CBC" w:rsidRDefault="00EE0CBC" w:rsidP="00EE0CBC">
      <w:pPr>
        <w:pStyle w:val="BodyText"/>
        <w:rPr>
          <w:i/>
          <w:iCs/>
          <w:lang w:eastAsia="en-AU"/>
        </w:rPr>
      </w:pPr>
      <w:r w:rsidRPr="001E2645">
        <w:rPr>
          <w:b/>
          <w:bCs/>
          <w:lang w:eastAsia="en-AU"/>
        </w:rPr>
        <w:t>“Act”</w:t>
      </w:r>
      <w:r>
        <w:rPr>
          <w:lang w:eastAsia="en-AU"/>
        </w:rPr>
        <w:t xml:space="preserve"> means the </w:t>
      </w:r>
      <w:r w:rsidRPr="001E2645">
        <w:rPr>
          <w:i/>
          <w:iCs/>
          <w:lang w:eastAsia="en-AU"/>
        </w:rPr>
        <w:t>Disability Services Act 1993</w:t>
      </w:r>
    </w:p>
    <w:p w14:paraId="70FEFCA8" w14:textId="77777777" w:rsidR="00EE0CBC" w:rsidRDefault="00EE0CBC" w:rsidP="00EE0CBC">
      <w:pPr>
        <w:pStyle w:val="BodyText"/>
        <w:rPr>
          <w:lang w:eastAsia="en-AU"/>
        </w:rPr>
      </w:pPr>
      <w:r w:rsidRPr="001E2645">
        <w:rPr>
          <w:b/>
          <w:bCs/>
          <w:lang w:eastAsia="en-AU"/>
        </w:rPr>
        <w:t>“</w:t>
      </w:r>
      <w:r>
        <w:rPr>
          <w:b/>
          <w:bCs/>
          <w:lang w:eastAsia="en-AU"/>
        </w:rPr>
        <w:t>Board”</w:t>
      </w:r>
      <w:r>
        <w:rPr>
          <w:lang w:eastAsia="en-AU"/>
        </w:rPr>
        <w:t xml:space="preserve"> means the Disability Services Commission Board</w:t>
      </w:r>
    </w:p>
    <w:p w14:paraId="012FAEBF" w14:textId="56D786C6" w:rsidR="00EE0CBC" w:rsidRDefault="00EE0CBC" w:rsidP="00EE0CBC">
      <w:pPr>
        <w:pStyle w:val="BodyText"/>
        <w:rPr>
          <w:lang w:eastAsia="en-AU"/>
        </w:rPr>
      </w:pPr>
      <w:r>
        <w:rPr>
          <w:b/>
          <w:bCs/>
          <w:lang w:eastAsia="en-AU"/>
        </w:rPr>
        <w:t>“</w:t>
      </w:r>
      <w:r w:rsidR="00227447">
        <w:rPr>
          <w:b/>
          <w:bCs/>
          <w:lang w:eastAsia="en-AU"/>
        </w:rPr>
        <w:t>Chairperson</w:t>
      </w:r>
      <w:r>
        <w:rPr>
          <w:b/>
          <w:bCs/>
          <w:lang w:eastAsia="en-AU"/>
        </w:rPr>
        <w:t xml:space="preserve">” </w:t>
      </w:r>
      <w:r>
        <w:rPr>
          <w:lang w:eastAsia="en-AU"/>
        </w:rPr>
        <w:t xml:space="preserve">means the </w:t>
      </w:r>
      <w:r w:rsidR="00227447">
        <w:rPr>
          <w:lang w:eastAsia="en-AU"/>
        </w:rPr>
        <w:t>Chairperson</w:t>
      </w:r>
      <w:r>
        <w:rPr>
          <w:lang w:eastAsia="en-AU"/>
        </w:rPr>
        <w:t xml:space="preserve"> of the Disability Services Commission Board</w:t>
      </w:r>
    </w:p>
    <w:p w14:paraId="1D4F96A7" w14:textId="77777777" w:rsidR="00EE0CBC" w:rsidRDefault="00EE0CBC" w:rsidP="00EE0CBC">
      <w:pPr>
        <w:pStyle w:val="BodyText"/>
        <w:rPr>
          <w:lang w:eastAsia="en-AU"/>
        </w:rPr>
      </w:pPr>
      <w:r w:rsidRPr="004E2086">
        <w:rPr>
          <w:b/>
          <w:bCs/>
          <w:lang w:eastAsia="en-AU"/>
        </w:rPr>
        <w:t>“Chief Executive Officer”</w:t>
      </w:r>
      <w:r>
        <w:rPr>
          <w:lang w:eastAsia="en-AU"/>
        </w:rPr>
        <w:t xml:space="preserve"> means the highest senior executive officer of the Disability Services Commission</w:t>
      </w:r>
    </w:p>
    <w:p w14:paraId="1153402A" w14:textId="77777777" w:rsidR="00EE0CBC" w:rsidRDefault="00EE0CBC" w:rsidP="00EE0CBC">
      <w:pPr>
        <w:pStyle w:val="BodyText"/>
        <w:rPr>
          <w:lang w:eastAsia="en-AU"/>
        </w:rPr>
      </w:pPr>
      <w:r w:rsidRPr="001E2645">
        <w:rPr>
          <w:b/>
          <w:bCs/>
          <w:lang w:eastAsia="en-AU"/>
        </w:rPr>
        <w:t>“Communities”</w:t>
      </w:r>
      <w:r>
        <w:rPr>
          <w:lang w:eastAsia="en-AU"/>
        </w:rPr>
        <w:t xml:space="preserve"> means the Department of Communities</w:t>
      </w:r>
    </w:p>
    <w:p w14:paraId="41D152C7" w14:textId="52823C7B" w:rsidR="00EE0CBC" w:rsidRPr="001E2645" w:rsidRDefault="00EE0CBC" w:rsidP="00EE0CBC">
      <w:pPr>
        <w:pStyle w:val="BodyText"/>
        <w:rPr>
          <w:lang w:eastAsia="en-AU"/>
        </w:rPr>
      </w:pPr>
      <w:r>
        <w:rPr>
          <w:b/>
          <w:bCs/>
          <w:lang w:eastAsia="en-AU"/>
        </w:rPr>
        <w:t>“member”</w:t>
      </w:r>
      <w:r>
        <w:rPr>
          <w:lang w:eastAsia="en-AU"/>
        </w:rPr>
        <w:t xml:space="preserve"> means a member of the Disability Services Commission</w:t>
      </w:r>
      <w:r w:rsidR="00BD78DB">
        <w:rPr>
          <w:lang w:eastAsia="en-AU"/>
        </w:rPr>
        <w:t xml:space="preserve"> Board</w:t>
      </w:r>
    </w:p>
    <w:p w14:paraId="4F76B393" w14:textId="3DCECCE0" w:rsidR="00EE0CBC" w:rsidRDefault="00EE0CBC" w:rsidP="00EE0CBC">
      <w:pPr>
        <w:pStyle w:val="BodyText"/>
        <w:rPr>
          <w:lang w:eastAsia="en-AU"/>
        </w:rPr>
      </w:pPr>
      <w:r>
        <w:rPr>
          <w:b/>
          <w:bCs/>
          <w:lang w:eastAsia="en-AU"/>
        </w:rPr>
        <w:t>“Minister</w:t>
      </w:r>
      <w:r w:rsidR="0056457C">
        <w:rPr>
          <w:b/>
          <w:bCs/>
          <w:lang w:eastAsia="en-AU"/>
        </w:rPr>
        <w:t xml:space="preserve"> or Minister for Disability Services</w:t>
      </w:r>
      <w:r>
        <w:rPr>
          <w:b/>
          <w:bCs/>
          <w:lang w:eastAsia="en-AU"/>
        </w:rPr>
        <w:t>”</w:t>
      </w:r>
      <w:r>
        <w:rPr>
          <w:lang w:eastAsia="en-AU"/>
        </w:rPr>
        <w:t xml:space="preserve"> means the Minister to whom administration of the </w:t>
      </w:r>
      <w:r w:rsidRPr="001E2645">
        <w:rPr>
          <w:i/>
          <w:iCs/>
          <w:lang w:eastAsia="en-AU"/>
        </w:rPr>
        <w:t>Disability Services Act 1993</w:t>
      </w:r>
      <w:r>
        <w:rPr>
          <w:lang w:eastAsia="en-AU"/>
        </w:rPr>
        <w:t xml:space="preserve"> is committed</w:t>
      </w:r>
    </w:p>
    <w:p w14:paraId="17D40072" w14:textId="01EB9642" w:rsidR="00EE0CBC" w:rsidRDefault="00EE0CBC" w:rsidP="00EE0CBC">
      <w:pPr>
        <w:pStyle w:val="BodyText"/>
        <w:rPr>
          <w:lang w:eastAsia="en-AU"/>
        </w:rPr>
      </w:pPr>
      <w:r w:rsidRPr="001E2645">
        <w:rPr>
          <w:b/>
          <w:bCs/>
          <w:lang w:eastAsia="en-AU"/>
        </w:rPr>
        <w:t>“Secretariat”</w:t>
      </w:r>
      <w:r>
        <w:rPr>
          <w:lang w:eastAsia="en-AU"/>
        </w:rPr>
        <w:t xml:space="preserve"> means the public officers employed by the Department of Communities who support the administration of the Disability Services Commission Board</w:t>
      </w:r>
    </w:p>
    <w:p w14:paraId="3B21DA6C" w14:textId="77777777" w:rsidR="00EE0CBC" w:rsidRPr="00240EE5" w:rsidRDefault="00EE0CBC" w:rsidP="00EE0CBC">
      <w:pPr>
        <w:pStyle w:val="Heading1"/>
      </w:pPr>
      <w:bookmarkStart w:id="3" w:name="_Toc125025975"/>
      <w:bookmarkStart w:id="4" w:name="_Toc125378620"/>
      <w:r w:rsidRPr="00857F23">
        <w:t>Background</w:t>
      </w:r>
      <w:bookmarkEnd w:id="2"/>
      <w:bookmarkEnd w:id="3"/>
      <w:bookmarkEnd w:id="4"/>
    </w:p>
    <w:p w14:paraId="1CC5463D" w14:textId="63B27B9D" w:rsidR="00EE0CBC" w:rsidRPr="007F7377" w:rsidRDefault="00EE0CBC" w:rsidP="00EE0CBC">
      <w:pPr>
        <w:pStyle w:val="BodyText"/>
      </w:pPr>
      <w:r>
        <w:t xml:space="preserve">The Disability Services Commission Board (the Board) is established under the </w:t>
      </w:r>
      <w:r>
        <w:rPr>
          <w:i/>
          <w:iCs/>
        </w:rPr>
        <w:t xml:space="preserve">Disability Services Act 1993 </w:t>
      </w:r>
      <w:r>
        <w:t xml:space="preserve">(the Act) </w:t>
      </w:r>
      <w:r w:rsidRPr="00D372A4">
        <w:t>s7 and Schedule 3.</w:t>
      </w:r>
      <w:r w:rsidR="004E7994">
        <w:t xml:space="preserve"> The Board is the governing body of the Disability Services Commission and is to perform the Commission’s functions under the </w:t>
      </w:r>
      <w:r w:rsidR="00706F39">
        <w:t xml:space="preserve">Act </w:t>
      </w:r>
      <w:r w:rsidR="004E7994">
        <w:t>or any other written law.</w:t>
      </w:r>
    </w:p>
    <w:p w14:paraId="5724664E" w14:textId="77777777" w:rsidR="00EE0CBC" w:rsidRDefault="00EE0CBC" w:rsidP="00EE0CBC">
      <w:pPr>
        <w:pStyle w:val="BodyText"/>
      </w:pPr>
      <w:r>
        <w:t>The Board comprises nine members appointed by the Minister for Disability Services from people nominated through an advertised recruitment process (section 7(2a)).</w:t>
      </w:r>
    </w:p>
    <w:p w14:paraId="06475B39" w14:textId="71FEF750" w:rsidR="004E7994" w:rsidRDefault="00EE0CBC" w:rsidP="00EE0CBC">
      <w:pPr>
        <w:pStyle w:val="BodyText"/>
      </w:pPr>
      <w:r w:rsidRPr="004E7994">
        <w:t>Division 4 of the</w:t>
      </w:r>
      <w:r w:rsidR="00706F39">
        <w:t xml:space="preserve"> Act </w:t>
      </w:r>
      <w:r w:rsidRPr="0069684B">
        <w:t>defines the</w:t>
      </w:r>
      <w:r w:rsidR="004370F3">
        <w:t xml:space="preserve"> relationship between the </w:t>
      </w:r>
      <w:r w:rsidR="004E7994">
        <w:t xml:space="preserve">Disability Services </w:t>
      </w:r>
      <w:r w:rsidR="004370F3">
        <w:t>Commission and the Minister</w:t>
      </w:r>
      <w:r w:rsidR="005324D1">
        <w:t xml:space="preserve"> for Disability Services</w:t>
      </w:r>
      <w:r w:rsidR="00BD78DB">
        <w:t>.</w:t>
      </w:r>
      <w:r w:rsidRPr="0069684B">
        <w:t xml:space="preserve"> This includes </w:t>
      </w:r>
      <w:r w:rsidR="004370F3">
        <w:t xml:space="preserve">the ability for the Minister to give </w:t>
      </w:r>
      <w:r w:rsidRPr="0069684B">
        <w:t>directions</w:t>
      </w:r>
      <w:r w:rsidR="004370F3">
        <w:t xml:space="preserve"> to the Commission with respect to the performance of its functions and to require the Commission to implement </w:t>
      </w:r>
      <w:r w:rsidRPr="0069684B">
        <w:t>government wide poli</w:t>
      </w:r>
      <w:r>
        <w:t>cies</w:t>
      </w:r>
      <w:r w:rsidRPr="0069684B">
        <w:t xml:space="preserve"> and the requirement to consult with the Minister on major initiatives.</w:t>
      </w:r>
    </w:p>
    <w:p w14:paraId="7C41E92E" w14:textId="698F9549" w:rsidR="00EE0CBC" w:rsidRDefault="00EE0CBC" w:rsidP="00EE0CBC">
      <w:pPr>
        <w:pStyle w:val="BodyText"/>
      </w:pPr>
      <w:r>
        <w:t xml:space="preserve">The Minister for Disability Services provides a </w:t>
      </w:r>
      <w:r w:rsidRPr="007F7377">
        <w:rPr>
          <w:i/>
          <w:iCs/>
        </w:rPr>
        <w:t>Statement of Expectation</w:t>
      </w:r>
      <w:r>
        <w:rPr>
          <w:i/>
          <w:iCs/>
        </w:rPr>
        <w:t xml:space="preserve"> </w:t>
      </w:r>
      <w:r>
        <w:t xml:space="preserve">for the strategic direction of the Board, and the Board responds with its </w:t>
      </w:r>
      <w:r w:rsidRPr="007F7377">
        <w:rPr>
          <w:i/>
          <w:iCs/>
        </w:rPr>
        <w:t>Statement of Intent</w:t>
      </w:r>
      <w:r w:rsidR="00EA43DD">
        <w:t>,</w:t>
      </w:r>
      <w:r>
        <w:t xml:space="preserve"> which serves as a commitment to the Minister’s expectations. These documents will remain in place until a change of government or Minister, or until a two-yearly review or other occurrence that deems a review of these documents necessary.</w:t>
      </w:r>
    </w:p>
    <w:p w14:paraId="079B8832" w14:textId="3814DAC0" w:rsidR="00EE0CBC" w:rsidRDefault="00EE0CBC" w:rsidP="00EE0CBC">
      <w:pPr>
        <w:pStyle w:val="BodyText"/>
      </w:pPr>
      <w:r w:rsidRPr="00807030">
        <w:t>Members are responsible for familiarising themselves with the requirements of the Board</w:t>
      </w:r>
      <w:r>
        <w:t>, and their own requirements as a member. The Public Sector Commission has resources to guide and support members. (</w:t>
      </w:r>
      <w:r w:rsidR="005324D1">
        <w:t>Part</w:t>
      </w:r>
      <w:r>
        <w:t xml:space="preserve"> 6 – References and Related Documents)</w:t>
      </w:r>
    </w:p>
    <w:p w14:paraId="74C48AA7" w14:textId="77777777" w:rsidR="00EE0CBC" w:rsidRDefault="00EE0CBC" w:rsidP="00EE0CBC">
      <w:pPr>
        <w:pStyle w:val="BodyText"/>
      </w:pPr>
      <w:r>
        <w:t xml:space="preserve">The Public Sector Commission website under the link to </w:t>
      </w:r>
      <w:r w:rsidRPr="008E4CED">
        <w:rPr>
          <w:i/>
          <w:iCs/>
        </w:rPr>
        <w:t>Boards and Committees</w:t>
      </w:r>
      <w:r>
        <w:t xml:space="preserve"> contains guiding information for government boards and committees.</w:t>
      </w:r>
    </w:p>
    <w:p w14:paraId="3308141E" w14:textId="77777777" w:rsidR="00EE0CBC" w:rsidRPr="00EE0CBC" w:rsidRDefault="00EE0CBC" w:rsidP="00EE0CBC">
      <w:pPr>
        <w:pStyle w:val="Heading2"/>
      </w:pPr>
      <w:bookmarkStart w:id="5" w:name="_Toc80696556"/>
      <w:bookmarkStart w:id="6" w:name="_Toc125025976"/>
      <w:r w:rsidRPr="00EE0CBC">
        <w:lastRenderedPageBreak/>
        <w:t>Scope</w:t>
      </w:r>
      <w:bookmarkEnd w:id="5"/>
      <w:bookmarkEnd w:id="6"/>
    </w:p>
    <w:p w14:paraId="57F888A8" w14:textId="1318B7E4" w:rsidR="00EE0CBC" w:rsidRDefault="00EE0CBC" w:rsidP="00EE0CBC">
      <w:pPr>
        <w:pStyle w:val="BodyText"/>
      </w:pPr>
      <w:r w:rsidRPr="00E26DFD">
        <w:t xml:space="preserve">This charter outlines the obligations and responsibilities of the Board in accordance with the </w:t>
      </w:r>
      <w:r w:rsidR="00706F39">
        <w:t xml:space="preserve">Act </w:t>
      </w:r>
      <w:r w:rsidRPr="00E26DFD">
        <w:t>and acknowledg</w:t>
      </w:r>
      <w:r>
        <w:t>es</w:t>
      </w:r>
      <w:r w:rsidRPr="00E26DFD">
        <w:t xml:space="preserve"> that some </w:t>
      </w:r>
      <w:r>
        <w:t xml:space="preserve">disability </w:t>
      </w:r>
      <w:r w:rsidRPr="00E26DFD">
        <w:t>services ha</w:t>
      </w:r>
      <w:r>
        <w:t>ve</w:t>
      </w:r>
      <w:r w:rsidRPr="00E26DFD">
        <w:t xml:space="preserve"> moved </w:t>
      </w:r>
      <w:r>
        <w:t xml:space="preserve">from the Disability Services Commission </w:t>
      </w:r>
      <w:r w:rsidRPr="00E26DFD">
        <w:t xml:space="preserve">to the </w:t>
      </w:r>
      <w:r>
        <w:t>National Disability Insurance Scheme (</w:t>
      </w:r>
      <w:r w:rsidRPr="00E26DFD">
        <w:t>NDIS</w:t>
      </w:r>
      <w:r>
        <w:t>)</w:t>
      </w:r>
      <w:r w:rsidRPr="00E26DFD">
        <w:t xml:space="preserve"> </w:t>
      </w:r>
      <w:r>
        <w:t>while</w:t>
      </w:r>
      <w:r w:rsidRPr="00E26DFD">
        <w:t xml:space="preserve"> others </w:t>
      </w:r>
      <w:r>
        <w:t xml:space="preserve">are </w:t>
      </w:r>
      <w:r w:rsidRPr="00E26DFD">
        <w:t>integrated throughout Communities</w:t>
      </w:r>
      <w:r w:rsidRPr="00E26DFD">
        <w:rPr>
          <w:i/>
          <w:iCs/>
        </w:rPr>
        <w:t>.</w:t>
      </w:r>
    </w:p>
    <w:p w14:paraId="30DEE196" w14:textId="36536BE3" w:rsidR="00CD7C51" w:rsidRDefault="00CD7C51" w:rsidP="00EE0CBC">
      <w:pPr>
        <w:pStyle w:val="BodyText"/>
      </w:pPr>
      <w:r>
        <w:t xml:space="preserve">The </w:t>
      </w:r>
      <w:r w:rsidR="00304568">
        <w:t>B</w:t>
      </w:r>
      <w:r>
        <w:t>oard continues to oversee</w:t>
      </w:r>
      <w:r w:rsidR="00671B06">
        <w:t>,</w:t>
      </w:r>
      <w:r>
        <w:t xml:space="preserve"> on behalf of the Disability Services Commission, finance, risk management, and service delivery as well as driving and promoting the State Disability Strategy and its action plans.</w:t>
      </w:r>
    </w:p>
    <w:p w14:paraId="2A2C38D5" w14:textId="54B72065" w:rsidR="00B65A9F" w:rsidRPr="00304568" w:rsidRDefault="00B65A9F" w:rsidP="00EE0CBC">
      <w:pPr>
        <w:pStyle w:val="BodyText"/>
      </w:pPr>
      <w:r>
        <w:t>The Board is also involved in the Western Australian Disability Advisory Council with members of the Ministerial Advisory Council on Disability.</w:t>
      </w:r>
    </w:p>
    <w:p w14:paraId="749F72FD" w14:textId="77777777" w:rsidR="00EE0CBC" w:rsidRPr="00C5728D" w:rsidRDefault="00EE0CBC" w:rsidP="00EE0CBC">
      <w:pPr>
        <w:pStyle w:val="Heading2"/>
      </w:pPr>
      <w:bookmarkStart w:id="7" w:name="_Toc80696557"/>
      <w:bookmarkStart w:id="8" w:name="_Toc125025977"/>
      <w:r>
        <w:t>Members’ r</w:t>
      </w:r>
      <w:r w:rsidRPr="00240EE5">
        <w:t>oles and responsibilities</w:t>
      </w:r>
      <w:bookmarkEnd w:id="7"/>
      <w:bookmarkEnd w:id="8"/>
    </w:p>
    <w:p w14:paraId="240B4B93" w14:textId="2B7B0A21" w:rsidR="00EE0CBC" w:rsidRPr="0041365E" w:rsidRDefault="00EE0CBC" w:rsidP="00EE0CBC">
      <w:pPr>
        <w:pStyle w:val="BodyText"/>
      </w:pPr>
      <w:r w:rsidRPr="0041365E">
        <w:t>The strategic leadership provided by the Board should place emphasis on Communities achieving its vision.</w:t>
      </w:r>
    </w:p>
    <w:p w14:paraId="605EFD06" w14:textId="77777777" w:rsidR="00EE0CBC" w:rsidRPr="0041365E" w:rsidRDefault="00EE0CBC" w:rsidP="00EE0CBC">
      <w:pPr>
        <w:pStyle w:val="BodyText"/>
      </w:pPr>
      <w:r w:rsidRPr="0041365E">
        <w:t>The Board will work to achieve this vision by:</w:t>
      </w:r>
    </w:p>
    <w:p w14:paraId="371DB8FB" w14:textId="21170DA5" w:rsidR="00EE0CBC" w:rsidRPr="0041365E" w:rsidRDefault="00EE0CBC" w:rsidP="00EE0CBC">
      <w:pPr>
        <w:pStyle w:val="BodyText"/>
        <w:numPr>
          <w:ilvl w:val="0"/>
          <w:numId w:val="15"/>
        </w:numPr>
      </w:pPr>
      <w:r w:rsidRPr="0041365E">
        <w:t>Ensuring the strong and central involvement of people with disability, their families and carers, in advising and leading strategic developments</w:t>
      </w:r>
      <w:r>
        <w:t>.</w:t>
      </w:r>
    </w:p>
    <w:p w14:paraId="0A4E3AF2" w14:textId="0C73485D" w:rsidR="00EE0CBC" w:rsidRPr="0041365E" w:rsidRDefault="00EE0CBC" w:rsidP="00EE0CBC">
      <w:pPr>
        <w:pStyle w:val="BodyText"/>
        <w:numPr>
          <w:ilvl w:val="0"/>
          <w:numId w:val="15"/>
        </w:numPr>
      </w:pPr>
      <w:r w:rsidRPr="0041365E">
        <w:t>Providing strong leadership to champion the rights of people with disability, their families and carers</w:t>
      </w:r>
      <w:r>
        <w:t>.</w:t>
      </w:r>
    </w:p>
    <w:p w14:paraId="76380D82" w14:textId="3DABCDF5" w:rsidR="00EE0CBC" w:rsidRPr="0041365E" w:rsidRDefault="00EE0CBC" w:rsidP="00EE0CBC">
      <w:pPr>
        <w:pStyle w:val="BodyText"/>
        <w:numPr>
          <w:ilvl w:val="0"/>
          <w:numId w:val="15"/>
        </w:numPr>
      </w:pPr>
      <w:r w:rsidRPr="0041365E">
        <w:t>Actively engaging communities, disability sector organisations, the private sector, and all levels of government</w:t>
      </w:r>
      <w:r>
        <w:t>.</w:t>
      </w:r>
    </w:p>
    <w:p w14:paraId="5F6B2BE3" w14:textId="0309165C" w:rsidR="00EE0CBC" w:rsidRPr="0041365E" w:rsidRDefault="00EE0CBC" w:rsidP="00EE0CBC">
      <w:pPr>
        <w:pStyle w:val="BodyText"/>
        <w:numPr>
          <w:ilvl w:val="0"/>
          <w:numId w:val="15"/>
        </w:numPr>
      </w:pPr>
      <w:r w:rsidRPr="0041365E">
        <w:t>Ensuring our directions are guided by contemporary thinking and evidence-based practice</w:t>
      </w:r>
      <w:r>
        <w:t>.</w:t>
      </w:r>
    </w:p>
    <w:p w14:paraId="2D7F8074" w14:textId="77777777" w:rsidR="00EE0CBC" w:rsidRDefault="00EE0CBC" w:rsidP="00EE0CBC">
      <w:pPr>
        <w:pStyle w:val="BodyText"/>
      </w:pPr>
      <w:r>
        <w:t>Members are appointed to the Board who have expertise relevant to the functions of the Commission and its operations, including expertise in management, finance, law, marketing, and the provision of services in the public and private sectors and, people who have knowledge of, and experience in, matters relevant to people with disability.</w:t>
      </w:r>
    </w:p>
    <w:p w14:paraId="0F6FA594" w14:textId="5E1DF220" w:rsidR="00EE0CBC" w:rsidRDefault="00EE0CBC" w:rsidP="00EE0CBC">
      <w:pPr>
        <w:pStyle w:val="BodyText"/>
      </w:pPr>
      <w:r>
        <w:t xml:space="preserve">Members (apart from the </w:t>
      </w:r>
      <w:r w:rsidR="00227447">
        <w:t>Chairperson</w:t>
      </w:r>
      <w:r>
        <w:t xml:space="preserve">) may serve consecutive terms of appointment up to a maximum of six years. Where members (apart from the </w:t>
      </w:r>
      <w:r w:rsidR="00227447">
        <w:t>Chairperson</w:t>
      </w:r>
      <w:r w:rsidR="00706F39">
        <w:t>)</w:t>
      </w:r>
      <w:r>
        <w:t xml:space="preserve"> have served consecutive terms of appointment totalling six years they cannot be re-appointed to the Board unless three years have elapsed since their last term ended. The </w:t>
      </w:r>
      <w:r w:rsidR="00227447">
        <w:t>Chairperson</w:t>
      </w:r>
      <w:r>
        <w:t xml:space="preserve"> may serve consecutive terms of appointment greater than six years. </w:t>
      </w:r>
    </w:p>
    <w:p w14:paraId="492FE486" w14:textId="214AF5AF" w:rsidR="00EE0CBC" w:rsidRDefault="00EE0CBC" w:rsidP="00EE0CBC">
      <w:pPr>
        <w:pStyle w:val="BodyText"/>
      </w:pPr>
      <w:r>
        <w:t xml:space="preserve">The Minister appoints one of the members to be the </w:t>
      </w:r>
      <w:r w:rsidR="00227447">
        <w:t>Chairperson</w:t>
      </w:r>
      <w:r>
        <w:t xml:space="preserve"> and another of the members to be the deputy </w:t>
      </w:r>
      <w:r w:rsidR="00227447">
        <w:t>Chairperson</w:t>
      </w:r>
      <w:r>
        <w:t>.</w:t>
      </w:r>
    </w:p>
    <w:p w14:paraId="4D5EC6A4" w14:textId="019CD601" w:rsidR="00EE0CBC" w:rsidRDefault="00EE0CBC" w:rsidP="00EE0CBC">
      <w:pPr>
        <w:pStyle w:val="BodyText"/>
      </w:pPr>
      <w:r w:rsidRPr="00336296">
        <w:t xml:space="preserve">The roles and responsibilities of members are determined by the Act and other related legislation (see </w:t>
      </w:r>
      <w:r w:rsidR="00706F39" w:rsidRPr="00336296">
        <w:t>P</w:t>
      </w:r>
      <w:r w:rsidRPr="00336296">
        <w:t>art 6 below References and Related documents), this Charter and the Code of Conduct and these documents should be read in conjunction with each other.</w:t>
      </w:r>
    </w:p>
    <w:p w14:paraId="2CA50865" w14:textId="77777777" w:rsidR="00EA2571" w:rsidRDefault="00EA2571" w:rsidP="00EE0CBC">
      <w:pPr>
        <w:pStyle w:val="BodyText"/>
      </w:pPr>
    </w:p>
    <w:p w14:paraId="47F752E0" w14:textId="5CE73339" w:rsidR="00EE0CBC" w:rsidRDefault="00EE0CBC" w:rsidP="00EE0CBC">
      <w:pPr>
        <w:pStyle w:val="BodyText"/>
      </w:pPr>
      <w:r>
        <w:lastRenderedPageBreak/>
        <w:t>All members are:</w:t>
      </w:r>
    </w:p>
    <w:p w14:paraId="76333848" w14:textId="77777777" w:rsidR="00EE0CBC" w:rsidRDefault="00EE0CBC" w:rsidP="00EE0CBC">
      <w:pPr>
        <w:pStyle w:val="BodyText"/>
        <w:numPr>
          <w:ilvl w:val="0"/>
          <w:numId w:val="14"/>
        </w:numPr>
      </w:pPr>
      <w:r>
        <w:t>required to participate fully in discussions and respond to out of session requests, perform their duties in good faith and in the best interests of the Commission.</w:t>
      </w:r>
    </w:p>
    <w:p w14:paraId="26032B5A" w14:textId="77777777" w:rsidR="00EE0CBC" w:rsidRDefault="00EE0CBC" w:rsidP="00EE0CBC">
      <w:pPr>
        <w:pStyle w:val="BodyText"/>
        <w:numPr>
          <w:ilvl w:val="0"/>
          <w:numId w:val="14"/>
        </w:numPr>
      </w:pPr>
      <w:r>
        <w:t>individually and collectively responsible to ensure the Board is undertaking its responsibilities.</w:t>
      </w:r>
    </w:p>
    <w:p w14:paraId="62A2E5A6" w14:textId="16526439" w:rsidR="00EE0CBC" w:rsidRDefault="00EE0CBC" w:rsidP="00EE0CBC">
      <w:pPr>
        <w:pStyle w:val="BodyText"/>
        <w:numPr>
          <w:ilvl w:val="0"/>
          <w:numId w:val="14"/>
        </w:numPr>
      </w:pPr>
      <w:r>
        <w:t xml:space="preserve">to </w:t>
      </w:r>
      <w:r w:rsidR="00F2413F">
        <w:t xml:space="preserve">comply with the </w:t>
      </w:r>
      <w:r w:rsidR="00402DA1">
        <w:t>Code of Conduct</w:t>
      </w:r>
      <w:r w:rsidR="000938E0">
        <w:t>.</w:t>
      </w:r>
      <w:r w:rsidR="00402DA1">
        <w:t xml:space="preserve"> </w:t>
      </w:r>
    </w:p>
    <w:p w14:paraId="1E50F5DC" w14:textId="615FE880" w:rsidR="00EE0CBC" w:rsidRDefault="00EE0CBC" w:rsidP="00EE0CBC">
      <w:pPr>
        <w:pStyle w:val="BodyText"/>
        <w:numPr>
          <w:ilvl w:val="0"/>
          <w:numId w:val="14"/>
        </w:numPr>
      </w:pPr>
      <w:r>
        <w:t>expected to exemplify a values-based approach when expressing their views even when they may dissent from other members.</w:t>
      </w:r>
    </w:p>
    <w:p w14:paraId="376756EF" w14:textId="14AD1D22" w:rsidR="00484759" w:rsidRDefault="00484759" w:rsidP="00EE0CBC">
      <w:pPr>
        <w:pStyle w:val="BodyText"/>
        <w:numPr>
          <w:ilvl w:val="0"/>
          <w:numId w:val="14"/>
        </w:numPr>
      </w:pPr>
      <w:r>
        <w:t>be mindful of diversity and inclusion i</w:t>
      </w:r>
      <w:r w:rsidRPr="00934F84">
        <w:t>n all discussions, decisions and recommendations</w:t>
      </w:r>
      <w:r w:rsidR="000938E0">
        <w:t>.</w:t>
      </w:r>
    </w:p>
    <w:p w14:paraId="23E7A44B" w14:textId="069D6912" w:rsidR="00EE0CBC" w:rsidRDefault="00EE0CBC" w:rsidP="00EE0CBC">
      <w:pPr>
        <w:pStyle w:val="BodyText"/>
        <w:rPr>
          <w:b/>
          <w:bCs/>
        </w:rPr>
      </w:pPr>
      <w:r>
        <w:t xml:space="preserve">The </w:t>
      </w:r>
      <w:r w:rsidR="00227447">
        <w:t>Chairperson</w:t>
      </w:r>
      <w:r>
        <w:t xml:space="preserve"> provides leadership and insight to ensure delivery of the Board’s purpose through engagement with all members.</w:t>
      </w:r>
    </w:p>
    <w:p w14:paraId="08968852" w14:textId="77777777" w:rsidR="00EE0CBC" w:rsidRPr="0069684B" w:rsidRDefault="00EE0CBC" w:rsidP="00EE0CBC">
      <w:pPr>
        <w:pStyle w:val="Heading1"/>
      </w:pPr>
      <w:bookmarkStart w:id="9" w:name="_Toc125378621"/>
      <w:r w:rsidRPr="0069684B">
        <w:t>Process</w:t>
      </w:r>
      <w:r>
        <w:t>es</w:t>
      </w:r>
      <w:bookmarkEnd w:id="9"/>
    </w:p>
    <w:p w14:paraId="11F878AD" w14:textId="75900506" w:rsidR="00EE0CBC" w:rsidRDefault="00227447" w:rsidP="00EE0CBC">
      <w:pPr>
        <w:pStyle w:val="BodyText"/>
        <w:rPr>
          <w:b/>
          <w:bCs/>
        </w:rPr>
      </w:pPr>
      <w:r>
        <w:rPr>
          <w:b/>
          <w:bCs/>
        </w:rPr>
        <w:t>Chairperson</w:t>
      </w:r>
      <w:r w:rsidR="00EE0CBC">
        <w:rPr>
          <w:b/>
          <w:bCs/>
        </w:rPr>
        <w:t xml:space="preserve"> and Executive Director meetings</w:t>
      </w:r>
    </w:p>
    <w:p w14:paraId="043A31E2" w14:textId="5839E894" w:rsidR="00EE0CBC" w:rsidRDefault="00EE0CBC" w:rsidP="00EE0CBC">
      <w:pPr>
        <w:pStyle w:val="BodyText"/>
      </w:pPr>
      <w:r>
        <w:t xml:space="preserve">The Executive Director, Office of Disability and the </w:t>
      </w:r>
      <w:r w:rsidR="00227447">
        <w:t>Chairperson</w:t>
      </w:r>
      <w:r>
        <w:t xml:space="preserve"> meet in advance of each meeting to discuss topics and the order of the agenda.</w:t>
      </w:r>
    </w:p>
    <w:p w14:paraId="479864F2" w14:textId="77777777" w:rsidR="00EE0CBC" w:rsidRDefault="00EE0CBC" w:rsidP="00EE0CBC">
      <w:pPr>
        <w:pStyle w:val="BodyText"/>
        <w:rPr>
          <w:b/>
          <w:bCs/>
        </w:rPr>
      </w:pPr>
      <w:r>
        <w:rPr>
          <w:b/>
          <w:bCs/>
        </w:rPr>
        <w:t>Board meetings</w:t>
      </w:r>
    </w:p>
    <w:p w14:paraId="3C657A72" w14:textId="77777777" w:rsidR="00EE0CBC" w:rsidRDefault="00EE0CBC" w:rsidP="00EE0CBC">
      <w:pPr>
        <w:pStyle w:val="BodyText"/>
        <w:rPr>
          <w:b/>
          <w:bCs/>
        </w:rPr>
      </w:pPr>
      <w:r>
        <w:t>O</w:t>
      </w:r>
      <w:r w:rsidRPr="0069684B">
        <w:t xml:space="preserve">rdinary </w:t>
      </w:r>
      <w:r>
        <w:t xml:space="preserve">Board meetings will be held every second </w:t>
      </w:r>
      <w:r w:rsidRPr="0069684B">
        <w:t>month</w:t>
      </w:r>
      <w:r>
        <w:t>, with the first meeting for each year being in February.</w:t>
      </w:r>
      <w:r>
        <w:rPr>
          <w:b/>
          <w:bCs/>
        </w:rPr>
        <w:t xml:space="preserve"> </w:t>
      </w:r>
    </w:p>
    <w:p w14:paraId="1C173BC9" w14:textId="7088097F" w:rsidR="00EE0CBC" w:rsidRPr="0069684B" w:rsidRDefault="00EE0CBC" w:rsidP="00EE0CBC">
      <w:pPr>
        <w:pStyle w:val="BodyText"/>
      </w:pPr>
      <w:r w:rsidRPr="0069684B">
        <w:t>Where there are matters of urgent and critical importance that cannot be dealt with out of session, a Special Meeting may be called</w:t>
      </w:r>
      <w:r w:rsidR="00B65A9F">
        <w:t xml:space="preserve"> with three days’ notice</w:t>
      </w:r>
    </w:p>
    <w:p w14:paraId="425D55BA" w14:textId="77777777" w:rsidR="00EE0CBC" w:rsidRPr="003D5291" w:rsidRDefault="00EE0CBC" w:rsidP="00EE0CBC">
      <w:pPr>
        <w:pStyle w:val="BodyText"/>
        <w:rPr>
          <w:b/>
          <w:bCs/>
        </w:rPr>
      </w:pPr>
      <w:r w:rsidRPr="003D5291">
        <w:rPr>
          <w:b/>
          <w:bCs/>
        </w:rPr>
        <w:t>Meeting papers distribution</w:t>
      </w:r>
    </w:p>
    <w:p w14:paraId="11AE93E5" w14:textId="77777777" w:rsidR="00EE0CBC" w:rsidRDefault="00EE0CBC" w:rsidP="00EE0CBC">
      <w:pPr>
        <w:pStyle w:val="BodyText"/>
      </w:pPr>
      <w:r>
        <w:t xml:space="preserve">Meeting papers will be distributed via email one week prior to the meeting. The papers will also be added to </w:t>
      </w:r>
      <w:r w:rsidRPr="00B77C8D">
        <w:t>the Microsoft Teams online storage facility.</w:t>
      </w:r>
      <w:r>
        <w:t xml:space="preserve"> </w:t>
      </w:r>
    </w:p>
    <w:p w14:paraId="716C6B11" w14:textId="5D62A468" w:rsidR="00EE0CBC" w:rsidRPr="003F302D" w:rsidRDefault="00EE0CBC" w:rsidP="00EE0CBC">
      <w:pPr>
        <w:pStyle w:val="BodyText"/>
      </w:pPr>
      <w:r>
        <w:t>Urgent and unavoidably late papers will be circulated no later than 10</w:t>
      </w:r>
      <w:r w:rsidR="00D85974">
        <w:t xml:space="preserve"> </w:t>
      </w:r>
      <w:r>
        <w:t>am three days before the meeting.</w:t>
      </w:r>
    </w:p>
    <w:p w14:paraId="675451D3" w14:textId="77777777" w:rsidR="00EE0CBC" w:rsidRPr="00143147" w:rsidRDefault="00EE0CBC" w:rsidP="00EE0CBC">
      <w:pPr>
        <w:pStyle w:val="BodyText"/>
        <w:rPr>
          <w:b/>
          <w:bCs/>
        </w:rPr>
      </w:pPr>
      <w:r w:rsidRPr="00143147">
        <w:rPr>
          <w:b/>
          <w:bCs/>
        </w:rPr>
        <w:t>Meetings</w:t>
      </w:r>
    </w:p>
    <w:p w14:paraId="28D40629" w14:textId="77777777" w:rsidR="00EE0CBC" w:rsidRPr="00934F84" w:rsidRDefault="00EE0CBC" w:rsidP="00EE0CBC">
      <w:pPr>
        <w:spacing w:after="0"/>
        <w:rPr>
          <w:rFonts w:cs="Arial"/>
        </w:rPr>
      </w:pPr>
      <w:r w:rsidRPr="00934F84">
        <w:rPr>
          <w:rFonts w:cs="Arial"/>
        </w:rPr>
        <w:t xml:space="preserve">At every meeting, </w:t>
      </w:r>
      <w:r>
        <w:rPr>
          <w:rFonts w:cs="Arial"/>
        </w:rPr>
        <w:t>members w</w:t>
      </w:r>
      <w:r w:rsidRPr="00934F84">
        <w:rPr>
          <w:rFonts w:cs="Arial"/>
        </w:rPr>
        <w:t>ill:</w:t>
      </w:r>
    </w:p>
    <w:p w14:paraId="53901B22" w14:textId="77777777" w:rsidR="00EE0CBC" w:rsidRPr="00836660" w:rsidRDefault="00EE0CBC" w:rsidP="00EE0CBC">
      <w:pPr>
        <w:pStyle w:val="BodyText"/>
        <w:numPr>
          <w:ilvl w:val="0"/>
          <w:numId w:val="14"/>
        </w:numPr>
        <w:spacing w:after="80"/>
      </w:pPr>
      <w:r w:rsidRPr="00836660">
        <w:t>Identify strategic risks and oversight their mitigation</w:t>
      </w:r>
      <w:r>
        <w:t>.</w:t>
      </w:r>
    </w:p>
    <w:p w14:paraId="5A6DBF77" w14:textId="2DE14B51" w:rsidR="00EE0CBC" w:rsidRPr="00AF0E23" w:rsidRDefault="00EE0CBC" w:rsidP="00EE0CBC">
      <w:pPr>
        <w:pStyle w:val="BodyText"/>
        <w:numPr>
          <w:ilvl w:val="0"/>
          <w:numId w:val="14"/>
        </w:numPr>
        <w:spacing w:after="80"/>
      </w:pPr>
      <w:r w:rsidRPr="00AF0E23">
        <w:t xml:space="preserve">Acknowledge and record any conflicts of interests (actual, potential or perceived) </w:t>
      </w:r>
      <w:r w:rsidR="00EF6D94" w:rsidRPr="00AF0E23">
        <w:t xml:space="preserve">in accordance with the Code of Conduct. </w:t>
      </w:r>
    </w:p>
    <w:p w14:paraId="0DDDE5DD" w14:textId="3275EF82" w:rsidR="00EE0CBC" w:rsidRPr="00DB3741" w:rsidRDefault="00EE0CBC" w:rsidP="00EE0CBC">
      <w:pPr>
        <w:spacing w:line="240" w:lineRule="auto"/>
      </w:pPr>
      <w:r w:rsidRPr="00DB3741">
        <w:t>Meetings open with an Acknowledgement of Country</w:t>
      </w:r>
      <w:r>
        <w:t xml:space="preserve"> or, if the </w:t>
      </w:r>
      <w:r w:rsidR="00227447">
        <w:t>Chairperson</w:t>
      </w:r>
      <w:r>
        <w:t xml:space="preserve"> is Aboriginal, a Welcome to Country</w:t>
      </w:r>
      <w:r w:rsidR="00706F39">
        <w:t xml:space="preserve"> or Ac</w:t>
      </w:r>
      <w:r w:rsidR="001D4B89">
        <w:t>knowledgment of Country (as appropriate)</w:t>
      </w:r>
      <w:r>
        <w:t>.</w:t>
      </w:r>
    </w:p>
    <w:p w14:paraId="14C814E6" w14:textId="77777777" w:rsidR="00EE0CBC" w:rsidRPr="00DB3741" w:rsidRDefault="00EE0CBC" w:rsidP="00EE0CBC">
      <w:pPr>
        <w:spacing w:line="240" w:lineRule="auto"/>
      </w:pPr>
      <w:r w:rsidRPr="00DB3741">
        <w:lastRenderedPageBreak/>
        <w:t xml:space="preserve">Members should attend meetings in person where possible. </w:t>
      </w:r>
      <w:r>
        <w:t>If a member is unable to attend in person, a link to attend the meeting online should be arranged with the secretariat.</w:t>
      </w:r>
    </w:p>
    <w:p w14:paraId="5AD66537" w14:textId="7D2A2818" w:rsidR="00EE0CBC" w:rsidRDefault="00EE0CBC" w:rsidP="00EE0CBC">
      <w:pPr>
        <w:pStyle w:val="BodyText"/>
      </w:pPr>
      <w:r>
        <w:t xml:space="preserve">Where a member is unable to attend a meeting, they should notify the </w:t>
      </w:r>
      <w:r w:rsidR="00227447">
        <w:t>Chairperson</w:t>
      </w:r>
      <w:r>
        <w:t xml:space="preserve"> as soon as possible prior to a meeting.</w:t>
      </w:r>
    </w:p>
    <w:p w14:paraId="09DAAAB5" w14:textId="287AE0C8" w:rsidR="00EF6D94" w:rsidRDefault="00EF6D94" w:rsidP="00EF6D94">
      <w:pPr>
        <w:pStyle w:val="BodyText"/>
      </w:pPr>
      <w:r w:rsidRPr="00EF6D94">
        <w:t>The Board must keep minutes of its meetings. The minutes of the previous meeting will be presented for Board consideration at the next meeting.</w:t>
      </w:r>
    </w:p>
    <w:p w14:paraId="6DF5C884" w14:textId="77777777" w:rsidR="00EE0CBC" w:rsidRPr="00DB3741" w:rsidRDefault="00EE0CBC" w:rsidP="00EE0CBC">
      <w:pPr>
        <w:pStyle w:val="BodyText"/>
        <w:rPr>
          <w:b/>
          <w:bCs/>
        </w:rPr>
      </w:pPr>
      <w:r>
        <w:rPr>
          <w:b/>
          <w:bCs/>
        </w:rPr>
        <w:t xml:space="preserve">Meeting </w:t>
      </w:r>
      <w:r w:rsidRPr="00DB3741">
        <w:rPr>
          <w:b/>
          <w:bCs/>
        </w:rPr>
        <w:t>Quorum</w:t>
      </w:r>
      <w:r>
        <w:rPr>
          <w:b/>
          <w:bCs/>
        </w:rPr>
        <w:t>(s)</w:t>
      </w:r>
    </w:p>
    <w:p w14:paraId="091A727B" w14:textId="35225F48" w:rsidR="00EE0CBC" w:rsidRPr="00D626E4" w:rsidRDefault="00EE0CBC" w:rsidP="00EE0CBC">
      <w:pPr>
        <w:pStyle w:val="BodyText"/>
      </w:pPr>
      <w:r>
        <w:t>To constitute a meeting, six members must be present</w:t>
      </w:r>
      <w:r w:rsidR="00B65A9F" w:rsidRPr="00B65A9F">
        <w:t xml:space="preserve"> </w:t>
      </w:r>
      <w:r w:rsidR="00B65A9F">
        <w:t>for the whole of the meeting</w:t>
      </w:r>
      <w:r>
        <w:t>, either in person or virtually</w:t>
      </w:r>
      <w:r w:rsidR="00B65A9F">
        <w:t>.</w:t>
      </w:r>
    </w:p>
    <w:p w14:paraId="56A69C58" w14:textId="77777777" w:rsidR="00EE0CBC" w:rsidRPr="00CA7923" w:rsidRDefault="00EE0CBC" w:rsidP="00EE0CBC">
      <w:pPr>
        <w:pStyle w:val="BodyText"/>
        <w:rPr>
          <w:b/>
          <w:bCs/>
        </w:rPr>
      </w:pPr>
      <w:r w:rsidRPr="00CA7923">
        <w:rPr>
          <w:b/>
          <w:bCs/>
        </w:rPr>
        <w:t>Out-of-session approvals</w:t>
      </w:r>
    </w:p>
    <w:p w14:paraId="50C8B6A2" w14:textId="241B32E6" w:rsidR="00EE0CBC" w:rsidRDefault="00EE0CBC" w:rsidP="00EE0CBC">
      <w:pPr>
        <w:pStyle w:val="BodyText"/>
      </w:pPr>
      <w:r>
        <w:t xml:space="preserve">Where urgent and critical decisions are needed between meetings, out of session Board approval may be sought with the approval of the </w:t>
      </w:r>
      <w:r w:rsidR="00227447">
        <w:t>Chairperson</w:t>
      </w:r>
      <w:r>
        <w:t xml:space="preserve"> or following a decision of the Board at a previous meeting. This will be done by Flying Minute that will identify the purpose and recommendation, which will be circulated by email. Members will be required to approve or not approve the recommendation. </w:t>
      </w:r>
    </w:p>
    <w:p w14:paraId="3F133673" w14:textId="0042171B" w:rsidR="00EE0CBC" w:rsidRDefault="00EE0CBC" w:rsidP="00EE0CBC">
      <w:pPr>
        <w:pStyle w:val="BodyText"/>
      </w:pPr>
      <w:r>
        <w:t>A recommendation will be considered approved where not less than six Board members approve the recommendation</w:t>
      </w:r>
      <w:r w:rsidR="007C6133">
        <w:t xml:space="preserve"> in writing</w:t>
      </w:r>
      <w:r>
        <w:t>.</w:t>
      </w:r>
    </w:p>
    <w:p w14:paraId="5F1CAC32" w14:textId="333F39D2" w:rsidR="00EE0CBC" w:rsidRDefault="00EE0CBC" w:rsidP="00EE0CBC">
      <w:pPr>
        <w:pStyle w:val="BodyText"/>
      </w:pPr>
      <w:r>
        <w:t>The decision will be Minuted in the next Board meeting’s Minutes.</w:t>
      </w:r>
    </w:p>
    <w:p w14:paraId="6A06F2DF" w14:textId="77777777" w:rsidR="00EE0CBC" w:rsidRDefault="00EE0CBC" w:rsidP="00EE0CBC">
      <w:pPr>
        <w:pStyle w:val="BodyText"/>
        <w:rPr>
          <w:b/>
          <w:bCs/>
        </w:rPr>
      </w:pPr>
      <w:r w:rsidRPr="009D6AB2">
        <w:rPr>
          <w:b/>
          <w:bCs/>
        </w:rPr>
        <w:t>Financial Reports</w:t>
      </w:r>
    </w:p>
    <w:p w14:paraId="27A046C1" w14:textId="77777777" w:rsidR="00EE0CBC" w:rsidRDefault="00EE0CBC" w:rsidP="00EE0CBC">
      <w:pPr>
        <w:pStyle w:val="BodyText"/>
      </w:pPr>
      <w:r>
        <w:t>Financial Reports of the Disability Services Commission budget expenditure is provided at each meeting for review and endorsement.</w:t>
      </w:r>
    </w:p>
    <w:p w14:paraId="4AC7299D" w14:textId="77777777" w:rsidR="00EE0CBC" w:rsidRDefault="00EE0CBC" w:rsidP="00EE0CBC">
      <w:pPr>
        <w:pStyle w:val="BodyText"/>
        <w:rPr>
          <w:b/>
          <w:bCs/>
        </w:rPr>
      </w:pPr>
      <w:r w:rsidRPr="009D6AB2">
        <w:rPr>
          <w:b/>
          <w:bCs/>
        </w:rPr>
        <w:t>Audit and Risk Management</w:t>
      </w:r>
    </w:p>
    <w:p w14:paraId="5654906F" w14:textId="77777777" w:rsidR="00484759" w:rsidRDefault="00484759" w:rsidP="00484759">
      <w:pPr>
        <w:pStyle w:val="BodyText"/>
      </w:pPr>
      <w:r>
        <w:t xml:space="preserve">The risk management function at the Department of Communities (Communities), covers all activities undertaken by Communities including those undertaken on behalf of the Board and is facilitated by the Risk Branch, located within the Professional Standards directorate. </w:t>
      </w:r>
    </w:p>
    <w:p w14:paraId="0535E09F" w14:textId="00859104" w:rsidR="00484759" w:rsidRDefault="00484759" w:rsidP="00484759">
      <w:pPr>
        <w:pStyle w:val="BodyText"/>
      </w:pPr>
      <w:r>
        <w:t xml:space="preserve">Communities’ Risk Management Policy and Framework that has been approved by the Communities Leadership Team and presented to the Audit and Risk Committee (ARC) for input and noting. These documents are reviewed annually and are aligned to </w:t>
      </w:r>
      <w:r w:rsidRPr="00355D13">
        <w:rPr>
          <w:i/>
          <w:iCs/>
        </w:rPr>
        <w:t xml:space="preserve">ISO 31000:2018 – Risk Management and Treasurer’s Instruction </w:t>
      </w:r>
      <w:r w:rsidR="0030205F">
        <w:rPr>
          <w:i/>
          <w:iCs/>
        </w:rPr>
        <w:t>4</w:t>
      </w:r>
      <w:r>
        <w:t>.</w:t>
      </w:r>
    </w:p>
    <w:p w14:paraId="7EF6F59F" w14:textId="5DD0AF8B" w:rsidR="00484759" w:rsidRDefault="00484759" w:rsidP="00484759">
      <w:pPr>
        <w:pStyle w:val="BodyText"/>
      </w:pPr>
      <w:r>
        <w:t xml:space="preserve">The ARC oversees audit and risk activities within Communities to provide independent assurance of the risk function and its performance. The ARC is independently chaired and has </w:t>
      </w:r>
      <w:r w:rsidR="00EE4116">
        <w:t xml:space="preserve">one </w:t>
      </w:r>
      <w:r>
        <w:t xml:space="preserve">Disability Services Commission Board representative as </w:t>
      </w:r>
      <w:r w:rsidR="00EE4116">
        <w:t xml:space="preserve">an </w:t>
      </w:r>
      <w:r>
        <w:t>independent member.</w:t>
      </w:r>
    </w:p>
    <w:p w14:paraId="6339C800" w14:textId="77777777" w:rsidR="00484759" w:rsidRDefault="00484759" w:rsidP="00484759">
      <w:pPr>
        <w:pStyle w:val="BodyText"/>
      </w:pPr>
      <w:r>
        <w:t>The Risk Branch has responsibility for the business continuity framework and ensuring that Business Continuity Plans are in place for all Communities divisions and critical business units, including all business areas dealing with disability services.</w:t>
      </w:r>
    </w:p>
    <w:p w14:paraId="18A8CBFB" w14:textId="562CD6FB" w:rsidR="00EE0CBC" w:rsidRPr="00A04BB1" w:rsidRDefault="00EE0CBC" w:rsidP="00EE0CBC">
      <w:pPr>
        <w:pStyle w:val="BodyText"/>
        <w:rPr>
          <w:b/>
          <w:bCs/>
        </w:rPr>
      </w:pPr>
      <w:r w:rsidRPr="009D6AB2">
        <w:rPr>
          <w:b/>
          <w:bCs/>
        </w:rPr>
        <w:lastRenderedPageBreak/>
        <w:t>Services</w:t>
      </w:r>
    </w:p>
    <w:p w14:paraId="1EA62CCF" w14:textId="0B063FFB" w:rsidR="00EE0CBC" w:rsidRDefault="00EE0CBC" w:rsidP="00EE0CBC">
      <w:pPr>
        <w:pStyle w:val="BodyText"/>
      </w:pPr>
      <w:r w:rsidRPr="00A04BB1">
        <w:t xml:space="preserve">Services </w:t>
      </w:r>
      <w:r w:rsidR="008518E9">
        <w:t xml:space="preserve">for </w:t>
      </w:r>
      <w:r w:rsidRPr="00A04BB1">
        <w:t xml:space="preserve">people with disability that </w:t>
      </w:r>
      <w:r>
        <w:t>are</w:t>
      </w:r>
      <w:r w:rsidRPr="00A04BB1">
        <w:t xml:space="preserve"> provided by the Disability Services Commission</w:t>
      </w:r>
      <w:r w:rsidR="007C6133">
        <w:t xml:space="preserve"> (through Communities)</w:t>
      </w:r>
      <w:r w:rsidRPr="00A04BB1">
        <w:t xml:space="preserve"> are monitored for</w:t>
      </w:r>
      <w:r>
        <w:t xml:space="preserve"> </w:t>
      </w:r>
      <w:r w:rsidRPr="00CA7923">
        <w:t>effectiveness of service outcomes and budget implications by way o</w:t>
      </w:r>
      <w:r w:rsidRPr="00A04BB1">
        <w:t>f a regular report to the Board from the Community Services directorate.</w:t>
      </w:r>
    </w:p>
    <w:p w14:paraId="2D399785" w14:textId="70C3CA48" w:rsidR="00EE4116" w:rsidRPr="00EA43DD" w:rsidRDefault="00EE4116" w:rsidP="00EE0CBC">
      <w:pPr>
        <w:pStyle w:val="BodyText"/>
        <w:rPr>
          <w:b/>
          <w:bCs/>
        </w:rPr>
      </w:pPr>
      <w:r w:rsidRPr="00EA43DD">
        <w:rPr>
          <w:b/>
          <w:bCs/>
        </w:rPr>
        <w:t>Sub-committees</w:t>
      </w:r>
    </w:p>
    <w:p w14:paraId="0297D21A" w14:textId="7B7D47C8" w:rsidR="00EE4116" w:rsidRDefault="00EE4116" w:rsidP="00EE4116">
      <w:pPr>
        <w:pStyle w:val="BodyText"/>
      </w:pPr>
      <w:r>
        <w:t>The Disability Services Commission (DSC) Board Quality and Safeguards Sub-Committee (Quality and Safeguards Sub-Committee) is established to have oversight of NDIS quality and safeguarding compliance and associated strategic risks, in the delivery of Supported Independent Living supports to people with disability in Communities’ Supported Community Living facilities.</w:t>
      </w:r>
    </w:p>
    <w:p w14:paraId="1563F3DC" w14:textId="0D1F4A62" w:rsidR="00EE4116" w:rsidRDefault="00EE4116" w:rsidP="00EE4116">
      <w:pPr>
        <w:pStyle w:val="BodyText"/>
      </w:pPr>
      <w:r>
        <w:t>As outlined in the Quality and Safeguards Sub-Committee Terms of Reference, the Board is responsible for functions and outcomes expected of the “governing body” and “key personnel” under the:</w:t>
      </w:r>
    </w:p>
    <w:p w14:paraId="368EEC2F" w14:textId="55409AB0" w:rsidR="00EE4116" w:rsidRDefault="00EE4116" w:rsidP="00EA43DD">
      <w:pPr>
        <w:pStyle w:val="Bullet1"/>
      </w:pPr>
      <w:r>
        <w:t xml:space="preserve">National Disability Insurance Scheme Act 2013 </w:t>
      </w:r>
    </w:p>
    <w:p w14:paraId="24078677" w14:textId="2A7B46D4" w:rsidR="00EE4116" w:rsidRDefault="00EE4116" w:rsidP="00EA43DD">
      <w:pPr>
        <w:pStyle w:val="Bullet1"/>
      </w:pPr>
      <w:r>
        <w:t xml:space="preserve">National Disability Insurance Scheme (Quality Indicators) Guidelines 2018, and </w:t>
      </w:r>
    </w:p>
    <w:p w14:paraId="1D12B452" w14:textId="5658F447" w:rsidR="00EE4116" w:rsidRDefault="00EE4116" w:rsidP="00EA43DD">
      <w:pPr>
        <w:pStyle w:val="Bullet1"/>
      </w:pPr>
      <w:r>
        <w:t>National Disability Insurance Scheme (Provider Registration and Practice Standards) Rules</w:t>
      </w:r>
    </w:p>
    <w:p w14:paraId="0CDC8509" w14:textId="77777777" w:rsidR="00EE0CBC" w:rsidRPr="005405CB" w:rsidRDefault="00EE0CBC" w:rsidP="00EE0CBC">
      <w:pPr>
        <w:pStyle w:val="BodyText"/>
        <w:rPr>
          <w:b/>
          <w:bCs/>
        </w:rPr>
      </w:pPr>
      <w:r w:rsidRPr="005405CB">
        <w:rPr>
          <w:b/>
          <w:bCs/>
        </w:rPr>
        <w:t>New member induction</w:t>
      </w:r>
    </w:p>
    <w:p w14:paraId="02E870C8" w14:textId="77777777" w:rsidR="00EE0CBC" w:rsidRPr="005405CB" w:rsidRDefault="00EE0CBC" w:rsidP="00EE0CBC">
      <w:pPr>
        <w:pStyle w:val="BodyText"/>
      </w:pPr>
      <w:r w:rsidRPr="005405CB">
        <w:t>All new members will receive a comprehensive information pack and induction session prior to their commencement on the Board.</w:t>
      </w:r>
    </w:p>
    <w:p w14:paraId="2A3B5936" w14:textId="77777777" w:rsidR="00EE0CBC" w:rsidRPr="005405CB" w:rsidRDefault="00EE0CBC" w:rsidP="00EE0CBC">
      <w:pPr>
        <w:pStyle w:val="BodyText"/>
        <w:rPr>
          <w:b/>
          <w:bCs/>
        </w:rPr>
      </w:pPr>
      <w:r w:rsidRPr="005405CB">
        <w:rPr>
          <w:b/>
          <w:bCs/>
        </w:rPr>
        <w:t>Remuneration</w:t>
      </w:r>
    </w:p>
    <w:p w14:paraId="41DA3B12" w14:textId="2CDA81CF" w:rsidR="00EE0CBC" w:rsidRPr="001E2645" w:rsidRDefault="00EE0CBC" w:rsidP="00EE0CBC">
      <w:pPr>
        <w:pStyle w:val="BodyText"/>
      </w:pPr>
      <w:r>
        <w:t>Schedule 3</w:t>
      </w:r>
      <w:r w:rsidR="007C6133">
        <w:t xml:space="preserve"> clause </w:t>
      </w:r>
      <w:r>
        <w:t xml:space="preserve">4 of the Act provides that members of the </w:t>
      </w:r>
      <w:r w:rsidR="007C6133">
        <w:t xml:space="preserve">Board </w:t>
      </w:r>
      <w:r>
        <w:t>are entitled to be paid such remuneration allowances as determined by the Minister from time to time, on the recommendation of the Public Sector Commission.</w:t>
      </w:r>
    </w:p>
    <w:p w14:paraId="6C18F2D5" w14:textId="77777777" w:rsidR="00EE0CBC" w:rsidRPr="005405CB" w:rsidRDefault="00EE0CBC" w:rsidP="00EE0CBC">
      <w:pPr>
        <w:pStyle w:val="BodyText"/>
        <w:rPr>
          <w:b/>
          <w:bCs/>
        </w:rPr>
      </w:pPr>
      <w:r w:rsidRPr="005405CB">
        <w:rPr>
          <w:b/>
          <w:bCs/>
        </w:rPr>
        <w:t>Leave of Absence</w:t>
      </w:r>
    </w:p>
    <w:p w14:paraId="1428D8A8" w14:textId="6A000923" w:rsidR="00EE0CBC" w:rsidRDefault="00EE0CBC" w:rsidP="00D47316">
      <w:pPr>
        <w:pStyle w:val="BodyText"/>
      </w:pPr>
      <w:r>
        <w:t xml:space="preserve">The </w:t>
      </w:r>
      <w:r w:rsidR="00227447">
        <w:t>Chairperson</w:t>
      </w:r>
      <w:r>
        <w:t xml:space="preserve"> may, by written notice to a member, grant the member leave to be absent for </w:t>
      </w:r>
      <w:r w:rsidR="00921FF0">
        <w:t xml:space="preserve">no more than </w:t>
      </w:r>
      <w:r>
        <w:t>two consecutive meetings.</w:t>
      </w:r>
    </w:p>
    <w:p w14:paraId="7E0C617F" w14:textId="2B94651D" w:rsidR="00EE0CBC" w:rsidRDefault="00EE0CBC" w:rsidP="00D47316">
      <w:pPr>
        <w:pStyle w:val="BodyText"/>
      </w:pPr>
      <w:r>
        <w:t xml:space="preserve">In the case of the </w:t>
      </w:r>
      <w:r w:rsidR="00227447">
        <w:t>Chairperson</w:t>
      </w:r>
      <w:r>
        <w:t xml:space="preserve">, the Minister may, by written notice, grant the </w:t>
      </w:r>
      <w:r w:rsidR="00227447">
        <w:t>Chairperson</w:t>
      </w:r>
      <w:r>
        <w:t xml:space="preserve"> leave to be absent for no more than two consecutive meetings.</w:t>
      </w:r>
    </w:p>
    <w:p w14:paraId="3C053561" w14:textId="77777777" w:rsidR="00EE0CBC" w:rsidRPr="005405CB" w:rsidRDefault="00EE0CBC" w:rsidP="00EE0CBC">
      <w:pPr>
        <w:pStyle w:val="BodyText"/>
        <w:rPr>
          <w:b/>
          <w:bCs/>
        </w:rPr>
      </w:pPr>
      <w:bookmarkStart w:id="10" w:name="_Toc170270943"/>
      <w:bookmarkStart w:id="11" w:name="_Toc422125604"/>
      <w:bookmarkStart w:id="12" w:name="_Toc433278170"/>
      <w:bookmarkStart w:id="13" w:name="_Toc80696560"/>
      <w:bookmarkStart w:id="14" w:name="_Toc125025979"/>
      <w:r w:rsidRPr="005405CB">
        <w:rPr>
          <w:b/>
          <w:bCs/>
        </w:rPr>
        <w:t>Review of this Charter</w:t>
      </w:r>
    </w:p>
    <w:p w14:paraId="2EDDA7FA" w14:textId="5F2C9347" w:rsidR="00EE0CBC" w:rsidRPr="005405CB" w:rsidRDefault="00227447" w:rsidP="00EE0CBC">
      <w:pPr>
        <w:pStyle w:val="BodyText"/>
      </w:pPr>
      <w:r w:rsidRPr="005405CB">
        <w:t xml:space="preserve">The Office of Disability </w:t>
      </w:r>
      <w:r w:rsidR="004139BA">
        <w:t>will review this Charter</w:t>
      </w:r>
      <w:r w:rsidRPr="005405CB">
        <w:t xml:space="preserve"> annually</w:t>
      </w:r>
      <w:r w:rsidR="00EE0CBC" w:rsidRPr="005405CB">
        <w:t>.</w:t>
      </w:r>
    </w:p>
    <w:p w14:paraId="0881DE37" w14:textId="77777777" w:rsidR="00EE0CBC" w:rsidRPr="00EE0CBC" w:rsidRDefault="00EE0CBC" w:rsidP="00EE0CBC">
      <w:pPr>
        <w:pStyle w:val="Heading1"/>
        <w:rPr>
          <w:color w:val="2C5C86"/>
        </w:rPr>
      </w:pPr>
      <w:bookmarkStart w:id="15" w:name="_Toc125378622"/>
      <w:r w:rsidRPr="00EE0CBC">
        <w:rPr>
          <w:color w:val="2C5C86"/>
        </w:rPr>
        <w:t>References and related documents</w:t>
      </w:r>
      <w:bookmarkEnd w:id="10"/>
      <w:bookmarkEnd w:id="11"/>
      <w:bookmarkEnd w:id="12"/>
      <w:bookmarkEnd w:id="13"/>
      <w:bookmarkEnd w:id="14"/>
      <w:bookmarkEnd w:id="15"/>
    </w:p>
    <w:p w14:paraId="7936A6E3" w14:textId="77777777" w:rsidR="00EE0CBC" w:rsidRDefault="00000000" w:rsidP="00EE0CBC">
      <w:pPr>
        <w:pStyle w:val="BodyText"/>
        <w:numPr>
          <w:ilvl w:val="0"/>
          <w:numId w:val="17"/>
        </w:numPr>
        <w:spacing w:after="60"/>
        <w:ind w:left="714" w:hanging="357"/>
        <w:rPr>
          <w:rStyle w:val="Hyperlink"/>
          <w:lang w:eastAsia="en-AU"/>
        </w:rPr>
      </w:pPr>
      <w:hyperlink r:id="rId15" w:history="1">
        <w:r w:rsidR="00EE0CBC" w:rsidRPr="002D2DBE">
          <w:rPr>
            <w:rStyle w:val="Hyperlink"/>
            <w:lang w:eastAsia="en-AU"/>
          </w:rPr>
          <w:t>Disability Services Act 1993</w:t>
        </w:r>
      </w:hyperlink>
    </w:p>
    <w:p w14:paraId="40AD5A89" w14:textId="77777777" w:rsidR="00EE0CBC" w:rsidRDefault="00000000" w:rsidP="00EE0CBC">
      <w:pPr>
        <w:pStyle w:val="BodyText"/>
        <w:numPr>
          <w:ilvl w:val="0"/>
          <w:numId w:val="17"/>
        </w:numPr>
        <w:spacing w:after="60"/>
        <w:ind w:left="714" w:hanging="357"/>
        <w:rPr>
          <w:rStyle w:val="Hyperlink"/>
          <w:lang w:eastAsia="en-AU"/>
        </w:rPr>
      </w:pPr>
      <w:hyperlink r:id="rId16" w:history="1">
        <w:r w:rsidR="00EE0CBC" w:rsidRPr="00B4264A">
          <w:rPr>
            <w:rStyle w:val="Hyperlink"/>
            <w:lang w:eastAsia="en-AU"/>
          </w:rPr>
          <w:t>Financial Management Act</w:t>
        </w:r>
      </w:hyperlink>
    </w:p>
    <w:p w14:paraId="55770E36" w14:textId="77777777" w:rsidR="00EE0CBC" w:rsidRPr="00447412" w:rsidRDefault="00000000" w:rsidP="00EE0CBC">
      <w:pPr>
        <w:pStyle w:val="BodyText"/>
        <w:numPr>
          <w:ilvl w:val="0"/>
          <w:numId w:val="17"/>
        </w:numPr>
        <w:spacing w:after="60"/>
        <w:ind w:left="714" w:hanging="357"/>
        <w:rPr>
          <w:rStyle w:val="Hyperlink"/>
        </w:rPr>
      </w:pPr>
      <w:hyperlink r:id="rId17" w:history="1">
        <w:r w:rsidR="00EE0CBC" w:rsidRPr="002D2DBE">
          <w:rPr>
            <w:rStyle w:val="Hyperlink"/>
            <w:lang w:eastAsia="en-AU"/>
          </w:rPr>
          <w:t>State Records Act 2000</w:t>
        </w:r>
      </w:hyperlink>
    </w:p>
    <w:p w14:paraId="536922A8" w14:textId="5258EDAC" w:rsidR="00EE0CBC" w:rsidRDefault="00000000" w:rsidP="00EE0CBC">
      <w:pPr>
        <w:pStyle w:val="BodyText"/>
        <w:numPr>
          <w:ilvl w:val="0"/>
          <w:numId w:val="17"/>
        </w:numPr>
        <w:spacing w:after="60"/>
        <w:ind w:left="714" w:hanging="357"/>
        <w:rPr>
          <w:lang w:eastAsia="en-AU"/>
        </w:rPr>
      </w:pPr>
      <w:hyperlink r:id="rId18" w:history="1">
        <w:r w:rsidR="00EE0CBC" w:rsidRPr="006D08B5">
          <w:rPr>
            <w:rStyle w:val="Hyperlink"/>
            <w:lang w:eastAsia="en-AU"/>
          </w:rPr>
          <w:t>Good governance for public sector agencies</w:t>
        </w:r>
      </w:hyperlink>
      <w:r w:rsidR="00EE0CBC">
        <w:rPr>
          <w:lang w:eastAsia="en-AU"/>
        </w:rPr>
        <w:t xml:space="preserve">: lists 9 principles </w:t>
      </w:r>
      <w:r w:rsidR="00A2046F">
        <w:rPr>
          <w:lang w:eastAsia="en-AU"/>
        </w:rPr>
        <w:t>and</w:t>
      </w:r>
      <w:r w:rsidR="00EE0CBC">
        <w:rPr>
          <w:lang w:eastAsia="en-AU"/>
        </w:rPr>
        <w:t xml:space="preserve"> related legislation</w:t>
      </w:r>
    </w:p>
    <w:p w14:paraId="0363563C" w14:textId="77777777" w:rsidR="00EE0CBC" w:rsidRDefault="00000000" w:rsidP="00EE0CBC">
      <w:pPr>
        <w:pStyle w:val="BodyText"/>
        <w:numPr>
          <w:ilvl w:val="0"/>
          <w:numId w:val="17"/>
        </w:numPr>
        <w:spacing w:after="60"/>
        <w:ind w:left="714" w:hanging="357"/>
        <w:rPr>
          <w:rStyle w:val="Hyperlink"/>
          <w:lang w:eastAsia="en-AU"/>
        </w:rPr>
      </w:pPr>
      <w:hyperlink r:id="rId19" w:history="1">
        <w:r w:rsidR="00EE0CBC" w:rsidRPr="00CA7923">
          <w:rPr>
            <w:rStyle w:val="Hyperlink"/>
            <w:lang w:eastAsia="en-AU"/>
          </w:rPr>
          <w:t>Good governance guide for public sector agencies checklist</w:t>
        </w:r>
      </w:hyperlink>
    </w:p>
    <w:p w14:paraId="14EFEF0D" w14:textId="77777777" w:rsidR="00EE0CBC" w:rsidRPr="00D63CE4" w:rsidRDefault="00000000" w:rsidP="00EE0CBC">
      <w:pPr>
        <w:pStyle w:val="BodyText"/>
        <w:numPr>
          <w:ilvl w:val="0"/>
          <w:numId w:val="17"/>
        </w:numPr>
        <w:spacing w:after="60"/>
        <w:ind w:left="714" w:hanging="357"/>
        <w:rPr>
          <w:lang w:eastAsia="en-AU"/>
        </w:rPr>
      </w:pPr>
      <w:hyperlink r:id="rId20" w:history="1">
        <w:r w:rsidR="00EE0CBC" w:rsidRPr="00CA7923">
          <w:rPr>
            <w:rStyle w:val="Hyperlink"/>
          </w:rPr>
          <w:t>Governance Manual for WA Government Boards and Committees</w:t>
        </w:r>
      </w:hyperlink>
    </w:p>
    <w:p w14:paraId="53B2827D" w14:textId="77777777" w:rsidR="00EE0CBC" w:rsidRDefault="00EE0CBC" w:rsidP="00EE0CBC">
      <w:pPr>
        <w:pStyle w:val="BodyText"/>
        <w:numPr>
          <w:ilvl w:val="0"/>
          <w:numId w:val="17"/>
        </w:numPr>
        <w:spacing w:after="60"/>
        <w:ind w:left="714" w:hanging="357"/>
        <w:rPr>
          <w:lang w:eastAsia="en-AU"/>
        </w:rPr>
      </w:pPr>
      <w:r>
        <w:rPr>
          <w:lang w:eastAsia="en-AU"/>
        </w:rPr>
        <w:t>Disability Services Commission Board – Code of Conduct</w:t>
      </w:r>
    </w:p>
    <w:p w14:paraId="0244DB2B" w14:textId="36F13947" w:rsidR="00EE0CBC" w:rsidRDefault="00EE0CBC" w:rsidP="00EE0CBC">
      <w:pPr>
        <w:pStyle w:val="BodyText"/>
        <w:numPr>
          <w:ilvl w:val="0"/>
          <w:numId w:val="17"/>
        </w:numPr>
        <w:spacing w:after="60"/>
        <w:ind w:left="714" w:hanging="357"/>
        <w:rPr>
          <w:lang w:eastAsia="en-AU"/>
        </w:rPr>
      </w:pPr>
      <w:r w:rsidRPr="005405CB">
        <w:rPr>
          <w:lang w:eastAsia="en-AU"/>
        </w:rPr>
        <w:t>Delegation</w:t>
      </w:r>
      <w:r w:rsidR="008518E9">
        <w:rPr>
          <w:lang w:eastAsia="en-AU"/>
        </w:rPr>
        <w:t xml:space="preserve">s under section 14 of the </w:t>
      </w:r>
      <w:r w:rsidR="008518E9" w:rsidRPr="008518E9">
        <w:rPr>
          <w:i/>
          <w:iCs/>
          <w:lang w:eastAsia="en-AU"/>
        </w:rPr>
        <w:t>Disability Services Act 1993</w:t>
      </w:r>
      <w:r w:rsidR="008518E9">
        <w:rPr>
          <w:lang w:eastAsia="en-AU"/>
        </w:rPr>
        <w:t xml:space="preserve"> including to the </w:t>
      </w:r>
      <w:r w:rsidRPr="005405CB">
        <w:rPr>
          <w:lang w:eastAsia="en-AU"/>
        </w:rPr>
        <w:t>Executive Director, Office of Disability</w:t>
      </w:r>
      <w:r>
        <w:rPr>
          <w:lang w:eastAsia="en-AU"/>
        </w:rPr>
        <w:t xml:space="preserve"> (Refer A11146872 for full list of delegations)</w:t>
      </w:r>
    </w:p>
    <w:p w14:paraId="2698A75C" w14:textId="1A5C11B3" w:rsidR="00EE0CBC" w:rsidRDefault="00000000" w:rsidP="00EE0CBC">
      <w:pPr>
        <w:pStyle w:val="BodyText"/>
        <w:numPr>
          <w:ilvl w:val="0"/>
          <w:numId w:val="17"/>
        </w:numPr>
        <w:spacing w:after="60"/>
        <w:ind w:left="714" w:hanging="357"/>
        <w:rPr>
          <w:rStyle w:val="Hyperlink"/>
          <w:lang w:eastAsia="en-AU"/>
        </w:rPr>
      </w:pPr>
      <w:hyperlink r:id="rId21" w:anchor=":~:text=Published%20on%20www.legislation.wa.gov.au%20Western%20Australia%20Statutory%20Corporations%20%28Liability,the%20case%20of%20certain%20statutory%20corporations%20and%20for" w:tgtFrame="_blank" w:tooltip="https://www.legislation.wa.gov.au/legislation/prod/filestore.nsf/FileURL/mrdoc_43777.pdf/$FILE/Statutory%20Corporations%20(Liability%20Of%20Directors)%20Act%201996%20-%20[06-d0-00].pdf?OpenElement#:~:text=Published%20on%20www.legislation.wa.gov.au%20Western%20" w:history="1">
        <w:r w:rsidR="00EE0CBC" w:rsidRPr="00AD4F3D">
          <w:rPr>
            <w:rStyle w:val="Hyperlink"/>
            <w:lang w:eastAsia="en-AU"/>
          </w:rPr>
          <w:t xml:space="preserve">Statutory Corporations (Liability </w:t>
        </w:r>
        <w:r w:rsidR="00EE0CBC">
          <w:rPr>
            <w:rStyle w:val="Hyperlink"/>
            <w:lang w:eastAsia="en-AU"/>
          </w:rPr>
          <w:t>o</w:t>
        </w:r>
        <w:r w:rsidR="00EE0CBC" w:rsidRPr="00AD4F3D">
          <w:rPr>
            <w:rStyle w:val="Hyperlink"/>
            <w:lang w:eastAsia="en-AU"/>
          </w:rPr>
          <w:t>f Directors) Act 1996 - (legislation.wa.gov.au)</w:t>
        </w:r>
      </w:hyperlink>
    </w:p>
    <w:p w14:paraId="49594ABE" w14:textId="77777777" w:rsidR="00EE0CBC" w:rsidRDefault="00000000" w:rsidP="00EE0CBC">
      <w:pPr>
        <w:pStyle w:val="BodyText"/>
        <w:numPr>
          <w:ilvl w:val="0"/>
          <w:numId w:val="17"/>
        </w:numPr>
        <w:spacing w:after="60"/>
        <w:ind w:left="714" w:hanging="357"/>
        <w:rPr>
          <w:rStyle w:val="Hyperlink"/>
        </w:rPr>
      </w:pPr>
      <w:hyperlink r:id="rId22" w:history="1">
        <w:r w:rsidR="00EE0CBC" w:rsidRPr="00447412">
          <w:rPr>
            <w:rStyle w:val="Hyperlink"/>
            <w:lang w:eastAsia="en-AU"/>
          </w:rPr>
          <w:t>Public Interest Disclosure</w:t>
        </w:r>
      </w:hyperlink>
      <w:r w:rsidR="00EE0CBC">
        <w:rPr>
          <w:rStyle w:val="Hyperlink"/>
          <w:lang w:eastAsia="en-AU"/>
        </w:rPr>
        <w:t xml:space="preserve"> Act 2003</w:t>
      </w:r>
    </w:p>
    <w:p w14:paraId="2931E972" w14:textId="72FE6DA3" w:rsidR="00373F35" w:rsidRPr="0079113B" w:rsidRDefault="00000000" w:rsidP="00EE0CBC">
      <w:pPr>
        <w:pStyle w:val="BodyText"/>
        <w:numPr>
          <w:ilvl w:val="0"/>
          <w:numId w:val="17"/>
        </w:numPr>
        <w:spacing w:after="60"/>
        <w:ind w:left="714" w:hanging="357"/>
        <w:rPr>
          <w:rStyle w:val="Hyperlink"/>
        </w:rPr>
      </w:pPr>
      <w:hyperlink r:id="rId23" w:anchor="/" w:history="1">
        <w:r w:rsidR="00373F35" w:rsidRPr="00EA43DD">
          <w:rPr>
            <w:rStyle w:val="Hyperlink"/>
            <w:color w:val="3B7AA5"/>
            <w:shd w:val="clear" w:color="auto" w:fill="FDFBF5"/>
          </w:rPr>
          <w:t>Governance e-Learning for WA Government Boards and Committees</w:t>
        </w:r>
      </w:hyperlink>
    </w:p>
    <w:sectPr w:rsidR="00373F35" w:rsidRPr="0079113B" w:rsidSect="00A2046F">
      <w:headerReference w:type="default" r:id="rId24"/>
      <w:pgSz w:w="11906" w:h="16838"/>
      <w:pgMar w:top="993" w:right="1274"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DE963" w14:textId="77777777" w:rsidR="00E65B66" w:rsidRDefault="00E65B66" w:rsidP="00A60D73">
      <w:r>
        <w:separator/>
      </w:r>
    </w:p>
  </w:endnote>
  <w:endnote w:type="continuationSeparator" w:id="0">
    <w:p w14:paraId="5A29BF94" w14:textId="77777777" w:rsidR="00E65B66" w:rsidRDefault="00E65B66" w:rsidP="00A6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C53" w14:textId="77777777" w:rsidR="0010785A" w:rsidRDefault="00107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2E45" w14:textId="555302ED" w:rsidR="00EA2571" w:rsidRDefault="00EA2571" w:rsidP="00EA2571">
    <w:pPr>
      <w:pStyle w:val="Footer"/>
      <w:jc w:val="center"/>
    </w:pP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6B2A" w14:textId="77777777" w:rsidR="0010785A" w:rsidRDefault="00107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88CE0" w14:textId="77777777" w:rsidR="00E65B66" w:rsidRDefault="00E65B66" w:rsidP="00A60D73">
      <w:r>
        <w:separator/>
      </w:r>
    </w:p>
  </w:footnote>
  <w:footnote w:type="continuationSeparator" w:id="0">
    <w:p w14:paraId="668D36C9" w14:textId="77777777" w:rsidR="00E65B66" w:rsidRDefault="00E65B66" w:rsidP="00A60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7B37" w14:textId="77777777" w:rsidR="0010785A" w:rsidRDefault="00107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6A45" w14:textId="37E914FF" w:rsidR="00790475" w:rsidRPr="00790475" w:rsidRDefault="00A2046F" w:rsidP="00A47A06">
    <w:pPr>
      <w:pStyle w:val="Header"/>
      <w:ind w:left="-1418"/>
    </w:pPr>
    <w:r>
      <w:rPr>
        <w:noProof/>
      </w:rPr>
      <w:drawing>
        <wp:inline distT="0" distB="0" distL="0" distR="0" wp14:anchorId="6812901E" wp14:editId="5FC8847B">
          <wp:extent cx="7608570" cy="1530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8570" cy="15303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27C20" w14:textId="77777777" w:rsidR="0010785A" w:rsidRDefault="001078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89A4" w14:textId="248209F1" w:rsidR="00790475" w:rsidRDefault="00790475" w:rsidP="00A60D73">
    <w:pPr>
      <w:pStyle w:val="Header"/>
    </w:pPr>
  </w:p>
  <w:p w14:paraId="2BC43AAB" w14:textId="62A18CD4" w:rsidR="0010785A" w:rsidRDefault="0010785A" w:rsidP="00A60D73">
    <w:pPr>
      <w:pStyle w:val="Header"/>
      <w:rPr>
        <w:color w:val="767171" w:themeColor="background2" w:themeShade="80"/>
      </w:rPr>
    </w:pPr>
    <w:r w:rsidRPr="0010785A">
      <w:rPr>
        <w:color w:val="767171" w:themeColor="background2" w:themeShade="80"/>
      </w:rPr>
      <w:t>The Disability Services Commission Board Charter</w:t>
    </w:r>
  </w:p>
  <w:p w14:paraId="6AA48DE2" w14:textId="7CDE59F6" w:rsidR="0010785A" w:rsidRPr="0010785A" w:rsidRDefault="00000000" w:rsidP="00A60D73">
    <w:pPr>
      <w:pStyle w:val="Header"/>
      <w:rPr>
        <w:color w:val="767171" w:themeColor="background2" w:themeShade="80"/>
      </w:rPr>
    </w:pPr>
    <w:r>
      <w:rPr>
        <w:color w:val="767171" w:themeColor="background2" w:themeShade="80"/>
      </w:rPr>
      <w:pict w14:anchorId="286423B0">
        <v:rect id="_x0000_i1025" style="width:459.6pt;height:3pt" o:hralign="center" o:hrstd="t" o:hrnoshade="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710B"/>
    <w:multiLevelType w:val="hybridMultilevel"/>
    <w:tmpl w:val="0E9CC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CB1AE7"/>
    <w:multiLevelType w:val="hybridMultilevel"/>
    <w:tmpl w:val="92E4D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A21D6"/>
    <w:multiLevelType w:val="multilevel"/>
    <w:tmpl w:val="96801CEC"/>
    <w:lvl w:ilvl="0">
      <w:start w:val="1"/>
      <w:numFmt w:val="decimal"/>
      <w:pStyle w:val="Heading1"/>
      <w:lvlText w:val="%1."/>
      <w:lvlJc w:val="left"/>
      <w:pPr>
        <w:ind w:left="360" w:hanging="360"/>
      </w:pPr>
      <w:rPr>
        <w:color w:val="2C5C86"/>
      </w:rPr>
    </w:lvl>
    <w:lvl w:ilvl="1">
      <w:start w:val="1"/>
      <w:numFmt w:val="decimal"/>
      <w:pStyle w:val="Heading2"/>
      <w:lvlText w:val="%1.%2"/>
      <w:lvlJc w:val="left"/>
      <w:pPr>
        <w:ind w:left="576" w:hanging="576"/>
      </w:pPr>
      <w:rPr>
        <w:b/>
        <w:bCs/>
      </w:rPr>
    </w:lvl>
    <w:lvl w:ilvl="2">
      <w:start w:val="1"/>
      <w:numFmt w:val="decimal"/>
      <w:pStyle w:val="Heading3"/>
      <w:lvlText w:val="%1.%2.%3"/>
      <w:lvlJc w:val="left"/>
      <w:pPr>
        <w:ind w:left="720" w:hanging="720"/>
      </w:pPr>
      <w:rPr>
        <w:rFonts w:ascii="Arial" w:hAnsi="Arial" w:cs="Arial" w:hint="default"/>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CE13AA"/>
    <w:multiLevelType w:val="hybridMultilevel"/>
    <w:tmpl w:val="0426A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F24CA5"/>
    <w:multiLevelType w:val="hybridMultilevel"/>
    <w:tmpl w:val="222C6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2511F"/>
    <w:multiLevelType w:val="hybridMultilevel"/>
    <w:tmpl w:val="CED0923C"/>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59F7E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F37DFE"/>
    <w:multiLevelType w:val="hybridMultilevel"/>
    <w:tmpl w:val="C92C1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9" w15:restartNumberingAfterBreak="0">
    <w:nsid w:val="4D6B5A5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1" w15:restartNumberingAfterBreak="0">
    <w:nsid w:val="6FB70438"/>
    <w:multiLevelType w:val="multilevel"/>
    <w:tmpl w:val="0C09001D"/>
    <w:styleLink w:val="OoDnumbering"/>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00E085B"/>
    <w:multiLevelType w:val="hybridMultilevel"/>
    <w:tmpl w:val="575002B6"/>
    <w:lvl w:ilvl="0" w:tplc="01BCE9BE">
      <w:start w:val="1"/>
      <w:numFmt w:val="decimal"/>
      <w:pStyle w:val="TOC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5905CB7"/>
    <w:multiLevelType w:val="multilevel"/>
    <w:tmpl w:val="431E2FC4"/>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98545FD"/>
    <w:multiLevelType w:val="hybridMultilevel"/>
    <w:tmpl w:val="A6545A8C"/>
    <w:lvl w:ilvl="0" w:tplc="60483E84">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007712"/>
    <w:multiLevelType w:val="hybridMultilevel"/>
    <w:tmpl w:val="64C43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9445623">
    <w:abstractNumId w:val="11"/>
  </w:num>
  <w:num w:numId="2" w16cid:durableId="1413702963">
    <w:abstractNumId w:val="2"/>
  </w:num>
  <w:num w:numId="3" w16cid:durableId="543104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1015862">
    <w:abstractNumId w:val="2"/>
  </w:num>
  <w:num w:numId="5" w16cid:durableId="371150905">
    <w:abstractNumId w:val="13"/>
  </w:num>
  <w:num w:numId="6" w16cid:durableId="1466242140">
    <w:abstractNumId w:val="6"/>
  </w:num>
  <w:num w:numId="7" w16cid:durableId="1603798804">
    <w:abstractNumId w:val="9"/>
  </w:num>
  <w:num w:numId="8" w16cid:durableId="2133462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24888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3270768">
    <w:abstractNumId w:val="12"/>
  </w:num>
  <w:num w:numId="11" w16cid:durableId="1864317712">
    <w:abstractNumId w:val="12"/>
  </w:num>
  <w:num w:numId="12" w16cid:durableId="717782899">
    <w:abstractNumId w:val="10"/>
  </w:num>
  <w:num w:numId="13" w16cid:durableId="1426418468">
    <w:abstractNumId w:val="8"/>
  </w:num>
  <w:num w:numId="14" w16cid:durableId="646279021">
    <w:abstractNumId w:val="7"/>
  </w:num>
  <w:num w:numId="15" w16cid:durableId="815873935">
    <w:abstractNumId w:val="3"/>
  </w:num>
  <w:num w:numId="16" w16cid:durableId="1969848177">
    <w:abstractNumId w:val="5"/>
  </w:num>
  <w:num w:numId="17" w16cid:durableId="548567488">
    <w:abstractNumId w:val="1"/>
  </w:num>
  <w:num w:numId="18" w16cid:durableId="1835074654">
    <w:abstractNumId w:val="4"/>
  </w:num>
  <w:num w:numId="19" w16cid:durableId="1157765392">
    <w:abstractNumId w:val="14"/>
  </w:num>
  <w:num w:numId="20" w16cid:durableId="598678098">
    <w:abstractNumId w:val="15"/>
  </w:num>
  <w:num w:numId="21" w16cid:durableId="749012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75"/>
    <w:rsid w:val="00002B48"/>
    <w:rsid w:val="00006898"/>
    <w:rsid w:val="00072ED6"/>
    <w:rsid w:val="000938E0"/>
    <w:rsid w:val="000975EA"/>
    <w:rsid w:val="000B4F1A"/>
    <w:rsid w:val="0010785A"/>
    <w:rsid w:val="00145A9B"/>
    <w:rsid w:val="001D2305"/>
    <w:rsid w:val="001D4B89"/>
    <w:rsid w:val="001F0669"/>
    <w:rsid w:val="00225191"/>
    <w:rsid w:val="00227447"/>
    <w:rsid w:val="00256A4B"/>
    <w:rsid w:val="002A38A7"/>
    <w:rsid w:val="0030205F"/>
    <w:rsid w:val="00304568"/>
    <w:rsid w:val="00336296"/>
    <w:rsid w:val="003442A2"/>
    <w:rsid w:val="00373F35"/>
    <w:rsid w:val="003B32F5"/>
    <w:rsid w:val="003B43A6"/>
    <w:rsid w:val="004007C3"/>
    <w:rsid w:val="00402DA1"/>
    <w:rsid w:val="004139BA"/>
    <w:rsid w:val="004370F3"/>
    <w:rsid w:val="004733AA"/>
    <w:rsid w:val="00484759"/>
    <w:rsid w:val="004906A0"/>
    <w:rsid w:val="004A1057"/>
    <w:rsid w:val="004E5460"/>
    <w:rsid w:val="004E7994"/>
    <w:rsid w:val="00513D8E"/>
    <w:rsid w:val="00514E3F"/>
    <w:rsid w:val="005324D1"/>
    <w:rsid w:val="00555709"/>
    <w:rsid w:val="0056457C"/>
    <w:rsid w:val="005A7DC2"/>
    <w:rsid w:val="006435D1"/>
    <w:rsid w:val="00657355"/>
    <w:rsid w:val="00671B06"/>
    <w:rsid w:val="00695979"/>
    <w:rsid w:val="006E387D"/>
    <w:rsid w:val="00706F39"/>
    <w:rsid w:val="00722A63"/>
    <w:rsid w:val="00756D25"/>
    <w:rsid w:val="00762E47"/>
    <w:rsid w:val="00790475"/>
    <w:rsid w:val="0079113B"/>
    <w:rsid w:val="007B3759"/>
    <w:rsid w:val="007B3E0B"/>
    <w:rsid w:val="007C6133"/>
    <w:rsid w:val="008518E9"/>
    <w:rsid w:val="008539BA"/>
    <w:rsid w:val="008860A8"/>
    <w:rsid w:val="008A292E"/>
    <w:rsid w:val="00921FF0"/>
    <w:rsid w:val="009426DA"/>
    <w:rsid w:val="00976BEC"/>
    <w:rsid w:val="00990896"/>
    <w:rsid w:val="009C78E4"/>
    <w:rsid w:val="00A2046F"/>
    <w:rsid w:val="00A47A06"/>
    <w:rsid w:val="00A60D73"/>
    <w:rsid w:val="00AF0E23"/>
    <w:rsid w:val="00B0198C"/>
    <w:rsid w:val="00B33207"/>
    <w:rsid w:val="00B65A9F"/>
    <w:rsid w:val="00BC1F28"/>
    <w:rsid w:val="00BD78DB"/>
    <w:rsid w:val="00BF059C"/>
    <w:rsid w:val="00BF1947"/>
    <w:rsid w:val="00C252F1"/>
    <w:rsid w:val="00C54140"/>
    <w:rsid w:val="00C55F59"/>
    <w:rsid w:val="00C7546A"/>
    <w:rsid w:val="00CD7C51"/>
    <w:rsid w:val="00D47316"/>
    <w:rsid w:val="00D85974"/>
    <w:rsid w:val="00E209F9"/>
    <w:rsid w:val="00E42224"/>
    <w:rsid w:val="00E53A2A"/>
    <w:rsid w:val="00E65B66"/>
    <w:rsid w:val="00EA2571"/>
    <w:rsid w:val="00EA43DD"/>
    <w:rsid w:val="00EE0CBC"/>
    <w:rsid w:val="00EE4116"/>
    <w:rsid w:val="00EF6D94"/>
    <w:rsid w:val="00F205BA"/>
    <w:rsid w:val="00F2413F"/>
    <w:rsid w:val="00F44B1A"/>
    <w:rsid w:val="00F678C0"/>
    <w:rsid w:val="00F93644"/>
    <w:rsid w:val="00FC288B"/>
    <w:rsid w:val="00FE0E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370D4"/>
  <w15:chartTrackingRefBased/>
  <w15:docId w15:val="{979A25FC-D23E-4CDB-9BC5-2654E88F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D73"/>
    <w:rPr>
      <w:rFonts w:ascii="Arial" w:hAnsi="Arial"/>
      <w:sz w:val="24"/>
    </w:rPr>
  </w:style>
  <w:style w:type="paragraph" w:styleId="Heading1">
    <w:name w:val="heading 1"/>
    <w:basedOn w:val="Normal"/>
    <w:next w:val="Normal"/>
    <w:link w:val="Heading1Char"/>
    <w:uiPriority w:val="9"/>
    <w:qFormat/>
    <w:rsid w:val="00A60D73"/>
    <w:pPr>
      <w:keepNext/>
      <w:keepLines/>
      <w:numPr>
        <w:numId w:val="4"/>
      </w:numPr>
      <w:spacing w:before="240" w:after="0"/>
      <w:outlineLvl w:val="0"/>
    </w:pPr>
    <w:rPr>
      <w:rFonts w:eastAsiaTheme="majorEastAsia"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EE0CBC"/>
    <w:pPr>
      <w:keepNext/>
      <w:keepLines/>
      <w:numPr>
        <w:ilvl w:val="1"/>
        <w:numId w:val="4"/>
      </w:numPr>
      <w:spacing w:before="4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A60D73"/>
    <w:pPr>
      <w:keepNext/>
      <w:keepLines/>
      <w:numPr>
        <w:ilvl w:val="2"/>
        <w:numId w:val="4"/>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A60D7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0D73"/>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60D73"/>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60D73"/>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60D7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60D7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475"/>
  </w:style>
  <w:style w:type="paragraph" w:styleId="Footer">
    <w:name w:val="footer"/>
    <w:basedOn w:val="Normal"/>
    <w:link w:val="FooterChar"/>
    <w:uiPriority w:val="99"/>
    <w:unhideWhenUsed/>
    <w:rsid w:val="007904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475"/>
  </w:style>
  <w:style w:type="character" w:customStyle="1" w:styleId="Heading1Char">
    <w:name w:val="Heading 1 Char"/>
    <w:basedOn w:val="DefaultParagraphFont"/>
    <w:link w:val="Heading1"/>
    <w:uiPriority w:val="9"/>
    <w:rsid w:val="00A60D73"/>
    <w:rPr>
      <w:rFonts w:ascii="Arial" w:eastAsiaTheme="majorEastAsia" w:hAnsi="Arial" w:cstheme="majorBidi"/>
      <w:b/>
      <w:bCs/>
      <w:color w:val="2F5496" w:themeColor="accent1" w:themeShade="BF"/>
      <w:sz w:val="32"/>
      <w:szCs w:val="32"/>
    </w:rPr>
  </w:style>
  <w:style w:type="paragraph" w:styleId="TOCHeading">
    <w:name w:val="TOC Heading"/>
    <w:basedOn w:val="Heading1"/>
    <w:next w:val="Normal"/>
    <w:uiPriority w:val="39"/>
    <w:unhideWhenUsed/>
    <w:qFormat/>
    <w:rsid w:val="00790475"/>
    <w:pPr>
      <w:numPr>
        <w:numId w:val="10"/>
      </w:numPr>
      <w:outlineLvl w:val="9"/>
    </w:pPr>
    <w:rPr>
      <w:lang w:val="en-US"/>
    </w:rPr>
  </w:style>
  <w:style w:type="table" w:styleId="TableGrid">
    <w:name w:val="Table Grid"/>
    <w:basedOn w:val="TableNormal"/>
    <w:uiPriority w:val="39"/>
    <w:rsid w:val="00790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olHeading">
    <w:name w:val="Control Heading"/>
    <w:basedOn w:val="Normal"/>
    <w:link w:val="ControlHeadingChar"/>
    <w:rsid w:val="00790475"/>
    <w:pPr>
      <w:spacing w:before="400" w:after="120" w:line="240" w:lineRule="auto"/>
      <w:outlineLvl w:val="0"/>
    </w:pPr>
    <w:rPr>
      <w:rFonts w:eastAsia="Arial" w:cs="Arial"/>
      <w:b/>
      <w:noProof/>
      <w:color w:val="2C5C86"/>
      <w:sz w:val="40"/>
      <w:szCs w:val="80"/>
      <w:lang w:eastAsia="en-AU"/>
    </w:rPr>
  </w:style>
  <w:style w:type="character" w:customStyle="1" w:styleId="ControlHeadingChar">
    <w:name w:val="Control Heading Char"/>
    <w:basedOn w:val="DefaultParagraphFont"/>
    <w:link w:val="ControlHeading"/>
    <w:rsid w:val="00790475"/>
    <w:rPr>
      <w:rFonts w:ascii="Arial" w:eastAsia="Arial" w:hAnsi="Arial" w:cs="Arial"/>
      <w:b/>
      <w:noProof/>
      <w:color w:val="2C5C86"/>
      <w:sz w:val="40"/>
      <w:szCs w:val="80"/>
      <w:lang w:eastAsia="en-AU"/>
    </w:rPr>
  </w:style>
  <w:style w:type="numbering" w:customStyle="1" w:styleId="OoDnumbering">
    <w:name w:val="OoD numbering"/>
    <w:uiPriority w:val="99"/>
    <w:rsid w:val="00A60D73"/>
    <w:pPr>
      <w:numPr>
        <w:numId w:val="1"/>
      </w:numPr>
    </w:pPr>
  </w:style>
  <w:style w:type="paragraph" w:styleId="ListParagraph">
    <w:name w:val="List Paragraph"/>
    <w:basedOn w:val="Heading2"/>
    <w:uiPriority w:val="34"/>
    <w:qFormat/>
    <w:rsid w:val="00A60D73"/>
  </w:style>
  <w:style w:type="character" w:customStyle="1" w:styleId="Heading2Char">
    <w:name w:val="Heading 2 Char"/>
    <w:basedOn w:val="DefaultParagraphFont"/>
    <w:link w:val="Heading2"/>
    <w:uiPriority w:val="9"/>
    <w:rsid w:val="00EE0CBC"/>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A60D7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60D7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60D7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60D7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60D7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60D7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60D73"/>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qFormat/>
    <w:rsid w:val="00EE0CBC"/>
    <w:pPr>
      <w:spacing w:after="120" w:line="288" w:lineRule="auto"/>
    </w:pPr>
    <w:rPr>
      <w:rFonts w:eastAsia="Arial" w:cs="Arial"/>
      <w:szCs w:val="24"/>
    </w:rPr>
  </w:style>
  <w:style w:type="character" w:customStyle="1" w:styleId="BodyTextChar">
    <w:name w:val="Body Text Char"/>
    <w:basedOn w:val="DefaultParagraphFont"/>
    <w:link w:val="BodyText"/>
    <w:rsid w:val="00EE0CBC"/>
    <w:rPr>
      <w:rFonts w:ascii="Arial" w:eastAsia="Arial" w:hAnsi="Arial" w:cs="Arial"/>
      <w:sz w:val="24"/>
      <w:szCs w:val="24"/>
    </w:rPr>
  </w:style>
  <w:style w:type="paragraph" w:customStyle="1" w:styleId="Bullet1">
    <w:name w:val="Bullet 1"/>
    <w:basedOn w:val="BodyText"/>
    <w:qFormat/>
    <w:rsid w:val="00EE0CBC"/>
    <w:pPr>
      <w:numPr>
        <w:numId w:val="13"/>
      </w:numPr>
      <w:contextualSpacing/>
    </w:pPr>
  </w:style>
  <w:style w:type="paragraph" w:customStyle="1" w:styleId="Bullet2">
    <w:name w:val="Bullet 2"/>
    <w:basedOn w:val="Normal"/>
    <w:next w:val="BodyText"/>
    <w:qFormat/>
    <w:rsid w:val="00EE0CBC"/>
    <w:pPr>
      <w:numPr>
        <w:numId w:val="12"/>
      </w:numPr>
      <w:spacing w:after="120" w:line="288" w:lineRule="auto"/>
      <w:ind w:left="714" w:hanging="357"/>
      <w:contextualSpacing/>
    </w:pPr>
    <w:rPr>
      <w:rFonts w:eastAsia="Arial" w:cs="Arial"/>
      <w:color w:val="000000"/>
      <w:szCs w:val="24"/>
    </w:rPr>
  </w:style>
  <w:style w:type="character" w:styleId="Hyperlink">
    <w:name w:val="Hyperlink"/>
    <w:basedOn w:val="DefaultParagraphFont"/>
    <w:uiPriority w:val="99"/>
    <w:unhideWhenUsed/>
    <w:rsid w:val="00EE0CBC"/>
    <w:rPr>
      <w:rFonts w:ascii="Arial" w:hAnsi="Arial"/>
      <w:color w:val="0000FF"/>
      <w:sz w:val="24"/>
      <w:u w:val="single"/>
    </w:rPr>
  </w:style>
  <w:style w:type="character" w:styleId="CommentReference">
    <w:name w:val="annotation reference"/>
    <w:basedOn w:val="DefaultParagraphFont"/>
    <w:semiHidden/>
    <w:unhideWhenUsed/>
    <w:rsid w:val="00EE0CBC"/>
    <w:rPr>
      <w:sz w:val="16"/>
      <w:szCs w:val="16"/>
    </w:rPr>
  </w:style>
  <w:style w:type="paragraph" w:styleId="CommentText">
    <w:name w:val="annotation text"/>
    <w:basedOn w:val="Normal"/>
    <w:link w:val="CommentTextChar"/>
    <w:unhideWhenUsed/>
    <w:rsid w:val="00EE0CBC"/>
    <w:pPr>
      <w:spacing w:after="120" w:line="240" w:lineRule="auto"/>
    </w:pPr>
    <w:rPr>
      <w:rFonts w:eastAsia="Arial" w:cs="Times New Roman"/>
      <w:sz w:val="20"/>
      <w:szCs w:val="20"/>
    </w:rPr>
  </w:style>
  <w:style w:type="character" w:customStyle="1" w:styleId="CommentTextChar">
    <w:name w:val="Comment Text Char"/>
    <w:basedOn w:val="DefaultParagraphFont"/>
    <w:link w:val="CommentText"/>
    <w:rsid w:val="00EE0CBC"/>
    <w:rPr>
      <w:rFonts w:ascii="Arial" w:eastAsia="Arial" w:hAnsi="Arial" w:cs="Times New Roman"/>
      <w:sz w:val="20"/>
      <w:szCs w:val="20"/>
    </w:rPr>
  </w:style>
  <w:style w:type="paragraph" w:styleId="TOC1">
    <w:name w:val="toc 1"/>
    <w:basedOn w:val="Normal"/>
    <w:next w:val="Normal"/>
    <w:autoRedefine/>
    <w:uiPriority w:val="39"/>
    <w:unhideWhenUsed/>
    <w:rsid w:val="00EE0CBC"/>
    <w:pPr>
      <w:spacing w:after="100"/>
    </w:pPr>
  </w:style>
  <w:style w:type="paragraph" w:styleId="TOC2">
    <w:name w:val="toc 2"/>
    <w:basedOn w:val="Normal"/>
    <w:next w:val="Normal"/>
    <w:autoRedefine/>
    <w:uiPriority w:val="39"/>
    <w:unhideWhenUsed/>
    <w:rsid w:val="00EE0CBC"/>
    <w:pPr>
      <w:spacing w:after="100"/>
      <w:ind w:left="240"/>
    </w:pPr>
  </w:style>
  <w:style w:type="paragraph" w:styleId="CommentSubject">
    <w:name w:val="annotation subject"/>
    <w:basedOn w:val="CommentText"/>
    <w:next w:val="CommentText"/>
    <w:link w:val="CommentSubjectChar"/>
    <w:uiPriority w:val="99"/>
    <w:semiHidden/>
    <w:unhideWhenUsed/>
    <w:rsid w:val="00BC1F28"/>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BC1F28"/>
    <w:rPr>
      <w:rFonts w:ascii="Arial" w:eastAsia="Arial" w:hAnsi="Arial" w:cs="Times New Roman"/>
      <w:b/>
      <w:bCs/>
      <w:sz w:val="20"/>
      <w:szCs w:val="20"/>
    </w:rPr>
  </w:style>
  <w:style w:type="character" w:styleId="FollowedHyperlink">
    <w:name w:val="FollowedHyperlink"/>
    <w:basedOn w:val="DefaultParagraphFont"/>
    <w:uiPriority w:val="99"/>
    <w:semiHidden/>
    <w:unhideWhenUsed/>
    <w:rsid w:val="00D47316"/>
    <w:rPr>
      <w:color w:val="954F72" w:themeColor="followedHyperlink"/>
      <w:u w:val="single"/>
    </w:rPr>
  </w:style>
  <w:style w:type="paragraph" w:styleId="Revision">
    <w:name w:val="Revision"/>
    <w:hidden/>
    <w:uiPriority w:val="99"/>
    <w:semiHidden/>
    <w:rsid w:val="00336296"/>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302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hyperlink" Target="https://www.wa.gov.au/government/publications/good-governance-public-sector-agencies" TargetMode="External" Id="rId18" /><Relationship Type="http://schemas.openxmlformats.org/officeDocument/2006/relationships/theme" Target="theme/theme1.xml" Id="rId26" /><Relationship Type="http://schemas.openxmlformats.org/officeDocument/2006/relationships/numbering" Target="numbering.xml" Id="rId3" /><Relationship Type="http://schemas.openxmlformats.org/officeDocument/2006/relationships/hyperlink" Target="https://www.legislation.wa.gov.au/legislation/prod/filestore.nsf/FileURL/mrdoc_43777.pdf/$FILE/Statutory%20Corporations%20(Liability%20Of%20Directors)%20Act%201996%20-%20%5b06-d0-00%5d.pdf?OpenElement" TargetMode="Externa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hyperlink" Target="https://www.legislation.wa.gov.au/legislation/prod/filestore.nsf/FileURL/mrdoc_44504.pdf/$FILE/State%20Records%20Act%202000%20-%20%5B01-g0-00%5D.pdf?OpenElement"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legislation.wa.gov.au/legislation/statutes.nsf/RedirectURL?OpenAgent&amp;query=mrdoc_45527.docx" TargetMode="External" Id="rId16" /><Relationship Type="http://schemas.openxmlformats.org/officeDocument/2006/relationships/hyperlink" Target="https://www.wa.gov.au/system/files/2021-11/Governance%20Manual%20for%20Western%20Australian%20Government%20Boards%20and%20Committees_0.pdf" TargetMode="Externa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header" Target="header4.xml" Id="rId24" /><Relationship Type="http://schemas.openxmlformats.org/officeDocument/2006/relationships/settings" Target="settings.xml" Id="rId5" /><Relationship Type="http://schemas.openxmlformats.org/officeDocument/2006/relationships/hyperlink" Target="https://www.legislation.wa.gov.au/legislation/statutes.nsf/law_a224.html" TargetMode="External" Id="rId15" /><Relationship Type="http://schemas.openxmlformats.org/officeDocument/2006/relationships/hyperlink" Target="https://induction.publicsector.wa.gov.au/boardsandcommittees/index.html" TargetMode="External" Id="rId23" /><Relationship Type="http://schemas.openxmlformats.org/officeDocument/2006/relationships/header" Target="header2.xml" Id="rId10" /><Relationship Type="http://schemas.openxmlformats.org/officeDocument/2006/relationships/hyperlink" Target="https://www.wa.gov.au/system/files/2020-07/Good%20governance%20guide%20for%20public%20sector%20agencies%20checklist%202020.DOCX" TargetMode="Externa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wa.gov.au/organisation/department-of-finance/public-interest-disclosure" TargetMode="External" Id="rId22" /><Relationship Type="http://schemas.openxmlformats.org/officeDocument/2006/relationships/customXml" Target="/customXML/item3.xml" Id="R052eaffff2e743a5"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33714F3EF854325AA8BBAA0BA2C5425" version="1.0.0">
  <systemFields>
    <field name="Objective-Id">
      <value order="0">A64205773</value>
    </field>
    <field name="Objective-Title">
      <value order="0">Disability Services Commission Board Charter - Version 2 - endorsed - 2 August 2024</value>
    </field>
    <field name="Objective-Description">
      <value order="0"/>
    </field>
    <field name="Objective-CreationStamp">
      <value order="0">2024-09-02T06:09:02Z</value>
    </field>
    <field name="Objective-IsApproved">
      <value order="0">false</value>
    </field>
    <field name="Objective-IsPublished">
      <value order="0">true</value>
    </field>
    <field name="Objective-DatePublished">
      <value order="0">2024-09-02T06:13:15Z</value>
    </field>
    <field name="Objective-ModificationStamp">
      <value order="0">2024-09-02T06:14:01Z</value>
    </field>
    <field name="Objective-Owner">
      <value order="0">Peta Kenworthy</value>
    </field>
    <field name="Objective-Path">
      <value order="0">Objective Global Folder:Department of Communities:Board Management:Compliance:DISABILITY SERVICES COMMISSION BOARD - COMPLIANCE:Charter and Code of Conduct</value>
    </field>
    <field name="Objective-Parent">
      <value order="0">Charter and Code of Conduct</value>
    </field>
    <field name="Objective-State">
      <value order="0">Published</value>
    </field>
    <field name="Objective-VersionId">
      <value order="0">vA69560689</value>
    </field>
    <field name="Objective-Version">
      <value order="0">1.0</value>
    </field>
    <field name="Objective-VersionNumber">
      <value order="0">1</value>
    </field>
    <field name="Objective-VersionComment">
      <value order="0">First version</value>
    </field>
    <field name="Objective-FileNumber">
      <value order="0">2022/21476</value>
    </field>
    <field name="Objective-Classification">
      <value order="0"/>
    </field>
    <field name="Objective-Caveats">
      <value order="0">Strategic Services Unit Users (DSC)</value>
    </field>
  </systemFields>
  <catalogues>
    <catalogue name="Document Type Catalogue" type="type" ori="id:cA130">
      <field name="Objective-Document Type">
        <value order="0">Internal Document</value>
      </field>
      <field name="Objective-Document Sub Type">
        <value order="0"/>
      </field>
      <field name="Objective-Document Date">
        <value order="0">2024-08-01T16:00:00Z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6259AAA2-6BE3-4CF2-9CE1-07FD968A2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2126</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 Kenworthy</dc:creator>
  <cp:keywords/>
  <dc:description/>
  <cp:lastModifiedBy>Peta Kenworthy</cp:lastModifiedBy>
  <cp:revision>4</cp:revision>
  <dcterms:created xsi:type="dcterms:W3CDTF">2024-09-02T06:09:00Z</dcterms:created>
  <dcterms:modified xsi:type="dcterms:W3CDTF">2024-09-02T06:11:00Z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A64205773</vt:lpwstr>
  </property>
  <property fmtid="{D5CDD505-2E9C-101B-9397-08002B2CF9AE}" pid="4" name="Objective-Title">
    <vt:lpwstr>Disability Services Commission Board Charter - Version 2 - endorsed - 2 August 2024</vt:lpwstr>
  </property>
  <property fmtid="{D5CDD505-2E9C-101B-9397-08002B2CF9AE}" pid="5" name="Objective-Description">
    <vt:lpwstr/>
  </property>
  <property fmtid="{D5CDD505-2E9C-101B-9397-08002B2CF9AE}" pid="6" name="Objective-CreationStamp">
    <vt:filetime>2024-09-02T06:13:15Z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2024-09-02T06:13:15Z</vt:filetime>
  </property>
  <property fmtid="{D5CDD505-2E9C-101B-9397-08002B2CF9AE}" pid="10" name="Objective-ModificationStamp">
    <vt:filetime>2024-09-02T06:14:01Z</vt:filetime>
  </property>
  <property fmtid="{D5CDD505-2E9C-101B-9397-08002B2CF9AE}" pid="11" name="Objective-Owner">
    <vt:lpwstr>Peta Kenworthy</vt:lpwstr>
  </property>
  <property fmtid="{D5CDD505-2E9C-101B-9397-08002B2CF9AE}" pid="12" name="Objective-Path">
    <vt:lpwstr>Objective Global Folder:Department of Communities:Board Management:Compliance:DISABILITY SERVICES COMMISSION BOARD - COMPLIANCE:Charter and Code of Conduct:</vt:lpwstr>
  </property>
  <property fmtid="{D5CDD505-2E9C-101B-9397-08002B2CF9AE}" pid="13" name="Objective-Parent">
    <vt:lpwstr>Charter and Code of Conduct</vt:lpwstr>
  </property>
  <property fmtid="{D5CDD505-2E9C-101B-9397-08002B2CF9AE}" pid="14" name="Objective-State">
    <vt:lpwstr>Published</vt:lpwstr>
  </property>
  <property fmtid="{D5CDD505-2E9C-101B-9397-08002B2CF9AE}" pid="15" name="Objective-VersionId">
    <vt:lpwstr>vA69560689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2022/21476</vt:lpwstr>
  </property>
  <property fmtid="{D5CDD505-2E9C-101B-9397-08002B2CF9AE}" pid="20" name="Objective-Classification">
    <vt:lpwstr>[Inherited - none]</vt:lpwstr>
  </property>
  <property fmtid="{D5CDD505-2E9C-101B-9397-08002B2CF9AE}" pid="21" name="Objective-Caveats">
    <vt:lpwstr>groups: Strategic Services Unit Users (DSC); </vt:lpwstr>
  </property>
  <property fmtid="{D5CDD505-2E9C-101B-9397-08002B2CF9AE}" pid="22" name="Objective-Document Type">
    <vt:lpwstr>Internal Document</vt:lpwstr>
  </property>
  <property fmtid="{D5CDD505-2E9C-101B-9397-08002B2CF9AE}" pid="23" name="Objective-Document Sub Type">
    <vt:lpwstr/>
  </property>
  <property fmtid="{D5CDD505-2E9C-101B-9397-08002B2CF9AE}" pid="24" name="Objective-Document Date">
    <vt:filetime>2024-08-01T16:00:00Z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Mail Returned">
    <vt:lpwstr/>
  </property>
  <property fmtid="{D5CDD505-2E9C-101B-9397-08002B2CF9AE}" pid="33" name="Objective-Comment">
    <vt:lpwstr/>
  </property>
</Properties>
</file>