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3D6B" w14:textId="315FEE29" w:rsidR="00926D47" w:rsidRPr="00670762" w:rsidRDefault="00926D47" w:rsidP="00BB6143">
      <w:pPr>
        <w:spacing w:before="240"/>
        <w:jc w:val="center"/>
        <w:rPr>
          <w:rFonts w:ascii="Univers LT Std 55" w:hAnsi="Univers LT Std 55" w:cstheme="minorHAnsi"/>
          <w:b/>
          <w:sz w:val="28"/>
          <w:szCs w:val="28"/>
        </w:rPr>
      </w:pPr>
      <w:r w:rsidRPr="00670762">
        <w:rPr>
          <w:rFonts w:ascii="Univers LT Std 55" w:hAnsi="Univers LT Std 55" w:cstheme="minorHAnsi"/>
          <w:b/>
          <w:sz w:val="28"/>
          <w:szCs w:val="28"/>
        </w:rPr>
        <w:t>Subcommittee</w:t>
      </w:r>
      <w:r w:rsidR="00670762">
        <w:rPr>
          <w:rFonts w:ascii="Univers LT Std 55" w:hAnsi="Univers LT Std 55" w:cstheme="minorHAnsi"/>
          <w:b/>
          <w:sz w:val="28"/>
          <w:szCs w:val="28"/>
        </w:rPr>
        <w:t>/Reference Group Name</w:t>
      </w:r>
    </w:p>
    <w:p w14:paraId="33391EE5" w14:textId="77777777" w:rsidR="00926D47" w:rsidRPr="00670762" w:rsidRDefault="00926D47" w:rsidP="00926D47">
      <w:pPr>
        <w:jc w:val="center"/>
        <w:rPr>
          <w:rFonts w:ascii="Univers LT Std 55" w:hAnsi="Univers LT Std 55" w:cstheme="minorHAnsi"/>
          <w:b/>
          <w:sz w:val="24"/>
        </w:rPr>
      </w:pPr>
      <w:r w:rsidRPr="00670762">
        <w:rPr>
          <w:rFonts w:ascii="Univers LT Std 55" w:hAnsi="Univers LT Std 55" w:cstheme="minorHAnsi"/>
          <w:b/>
          <w:sz w:val="24"/>
        </w:rPr>
        <w:t>TERMS OF REFERENCE</w:t>
      </w:r>
    </w:p>
    <w:p w14:paraId="3162F5C2" w14:textId="77777777" w:rsidR="00D16294" w:rsidRPr="00926D47" w:rsidRDefault="00D16294" w:rsidP="00926D47">
      <w:pPr>
        <w:jc w:val="center"/>
        <w:rPr>
          <w:rFonts w:ascii="Univers LT Std 55" w:hAnsi="Univers LT Std 55" w:cstheme="minorHAnsi"/>
          <w:b/>
          <w:i/>
          <w:sz w:val="24"/>
        </w:rPr>
      </w:pPr>
    </w:p>
    <w:p w14:paraId="3C7AE0A7" w14:textId="77777777" w:rsidR="00926D47" w:rsidRPr="008B4182" w:rsidRDefault="00926D47" w:rsidP="00926D47">
      <w:pPr>
        <w:rPr>
          <w:rFonts w:cstheme="minorHAnsi"/>
          <w:b/>
          <w:szCs w:val="20"/>
        </w:rPr>
      </w:pPr>
      <w:r w:rsidRPr="008B4182">
        <w:rPr>
          <w:rFonts w:cstheme="minorHAnsi"/>
          <w:b/>
          <w:szCs w:val="20"/>
        </w:rPr>
        <w:t>Objective</w:t>
      </w:r>
    </w:p>
    <w:p w14:paraId="510943F4" w14:textId="77777777" w:rsidR="00926D47" w:rsidRPr="008B4182" w:rsidRDefault="00926D47" w:rsidP="00926D47">
      <w:pPr>
        <w:rPr>
          <w:rFonts w:cstheme="minorHAnsi"/>
          <w:b/>
          <w:szCs w:val="20"/>
        </w:rPr>
      </w:pPr>
      <w:r w:rsidRPr="008B4182">
        <w:rPr>
          <w:szCs w:val="20"/>
        </w:rPr>
        <w:t xml:space="preserve">(Detail the objective of the </w:t>
      </w:r>
      <w:r>
        <w:rPr>
          <w:szCs w:val="20"/>
        </w:rPr>
        <w:t>subcommittee</w:t>
      </w:r>
      <w:r w:rsidRPr="008B4182">
        <w:rPr>
          <w:szCs w:val="20"/>
        </w:rPr>
        <w:t xml:space="preserve">/reference group and how it supports the SEMC) </w:t>
      </w:r>
    </w:p>
    <w:p w14:paraId="6B80C6F2" w14:textId="77777777" w:rsidR="00926D47" w:rsidRPr="008B4182" w:rsidRDefault="00926D47" w:rsidP="00926D47">
      <w:pPr>
        <w:rPr>
          <w:rFonts w:cstheme="minorHAnsi"/>
          <w:b/>
          <w:szCs w:val="20"/>
        </w:rPr>
      </w:pPr>
    </w:p>
    <w:p w14:paraId="465D33EA" w14:textId="77777777" w:rsidR="00926D47" w:rsidRPr="008B4182" w:rsidRDefault="00926D47" w:rsidP="00926D47">
      <w:pPr>
        <w:rPr>
          <w:rFonts w:cstheme="minorHAnsi"/>
          <w:b/>
          <w:szCs w:val="20"/>
        </w:rPr>
      </w:pPr>
    </w:p>
    <w:p w14:paraId="009D778C" w14:textId="77777777" w:rsidR="00926D47" w:rsidRPr="008B4182" w:rsidRDefault="00926D47" w:rsidP="00926D47">
      <w:pPr>
        <w:rPr>
          <w:rFonts w:cstheme="minorHAnsi"/>
          <w:b/>
          <w:szCs w:val="20"/>
        </w:rPr>
      </w:pPr>
      <w:r w:rsidRPr="008B4182">
        <w:rPr>
          <w:rFonts w:cstheme="minorHAnsi"/>
          <w:b/>
          <w:szCs w:val="20"/>
        </w:rPr>
        <w:t>Functions</w:t>
      </w:r>
    </w:p>
    <w:p w14:paraId="33FFD9AD" w14:textId="77777777" w:rsidR="00926D47" w:rsidRPr="008B4182" w:rsidRDefault="00926D47" w:rsidP="00926D47">
      <w:pPr>
        <w:contextualSpacing/>
        <w:rPr>
          <w:rFonts w:cstheme="minorHAnsi"/>
          <w:szCs w:val="20"/>
        </w:rPr>
      </w:pPr>
      <w:r w:rsidRPr="008B4182">
        <w:rPr>
          <w:rFonts w:cstheme="minorHAnsi"/>
          <w:szCs w:val="20"/>
        </w:rPr>
        <w:t xml:space="preserve">(List the functions the </w:t>
      </w:r>
      <w:r>
        <w:rPr>
          <w:rFonts w:cstheme="minorHAnsi"/>
          <w:szCs w:val="20"/>
        </w:rPr>
        <w:t>subcommittee</w:t>
      </w:r>
      <w:r w:rsidRPr="008B4182">
        <w:rPr>
          <w:rFonts w:cstheme="minorHAnsi"/>
          <w:szCs w:val="20"/>
        </w:rPr>
        <w:t xml:space="preserve"> or reference group will complete. Where possible link these to functions of the SEMC or the SEMC Strategic Plan. These will often detail how the group will interact with other </w:t>
      </w:r>
      <w:r>
        <w:rPr>
          <w:rFonts w:cstheme="minorHAnsi"/>
          <w:szCs w:val="20"/>
        </w:rPr>
        <w:t>subcommittee</w:t>
      </w:r>
      <w:r w:rsidRPr="008B4182">
        <w:rPr>
          <w:rFonts w:cstheme="minorHAnsi"/>
          <w:szCs w:val="20"/>
        </w:rPr>
        <w:t xml:space="preserve">s, reference groups and existing procedures) </w:t>
      </w:r>
    </w:p>
    <w:p w14:paraId="794E94F1" w14:textId="77777777" w:rsidR="00926D47" w:rsidRDefault="00926D47" w:rsidP="00926D47">
      <w:pPr>
        <w:contextualSpacing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7023"/>
      </w:tblGrid>
      <w:tr w:rsidR="00926D47" w:rsidRPr="00DA1288" w14:paraId="26CD81F1" w14:textId="77777777" w:rsidTr="00926D47">
        <w:trPr>
          <w:trHeight w:val="474"/>
        </w:trPr>
        <w:tc>
          <w:tcPr>
            <w:tcW w:w="1105" w:type="pct"/>
            <w:shd w:val="clear" w:color="auto" w:fill="D9D9D9"/>
          </w:tcPr>
          <w:p w14:paraId="56B4D7C0" w14:textId="77777777" w:rsidR="00926D47" w:rsidRPr="00DA1288" w:rsidRDefault="00926D47" w:rsidP="003B39A5">
            <w:pPr>
              <w:spacing w:before="120" w:after="120" w:line="360" w:lineRule="auto"/>
              <w:rPr>
                <w:sz w:val="20"/>
                <w:szCs w:val="20"/>
              </w:rPr>
            </w:pPr>
            <w:r w:rsidRPr="00DA1288">
              <w:rPr>
                <w:b/>
                <w:sz w:val="20"/>
                <w:szCs w:val="20"/>
              </w:rPr>
              <w:t>Sponsor:</w:t>
            </w:r>
          </w:p>
        </w:tc>
        <w:tc>
          <w:tcPr>
            <w:tcW w:w="3895" w:type="pct"/>
            <w:shd w:val="clear" w:color="auto" w:fill="auto"/>
          </w:tcPr>
          <w:p w14:paraId="72C5BC16" w14:textId="77777777" w:rsidR="00926D47" w:rsidRPr="008B4182" w:rsidRDefault="00926D47" w:rsidP="003B39A5">
            <w:pPr>
              <w:contextualSpacing/>
              <w:rPr>
                <w:sz w:val="20"/>
                <w:szCs w:val="20"/>
              </w:rPr>
            </w:pPr>
          </w:p>
        </w:tc>
      </w:tr>
      <w:tr w:rsidR="00926D47" w:rsidRPr="00DA1288" w14:paraId="09520C24" w14:textId="77777777" w:rsidTr="00926D47">
        <w:tc>
          <w:tcPr>
            <w:tcW w:w="1105" w:type="pct"/>
            <w:shd w:val="clear" w:color="auto" w:fill="D9D9D9"/>
          </w:tcPr>
          <w:p w14:paraId="34FECE66" w14:textId="77777777" w:rsidR="00926D47" w:rsidRPr="00DA1288" w:rsidRDefault="00926D47" w:rsidP="003B39A5">
            <w:pPr>
              <w:spacing w:before="120" w:after="120"/>
              <w:rPr>
                <w:sz w:val="20"/>
                <w:szCs w:val="20"/>
              </w:rPr>
            </w:pPr>
            <w:r w:rsidRPr="00DA1288">
              <w:rPr>
                <w:b/>
                <w:sz w:val="20"/>
                <w:szCs w:val="20"/>
              </w:rPr>
              <w:t>Chair:</w:t>
            </w:r>
          </w:p>
        </w:tc>
        <w:tc>
          <w:tcPr>
            <w:tcW w:w="3895" w:type="pct"/>
            <w:shd w:val="clear" w:color="auto" w:fill="auto"/>
          </w:tcPr>
          <w:p w14:paraId="2E40DC59" w14:textId="77777777" w:rsidR="00926D47" w:rsidRPr="00DA1288" w:rsidRDefault="00926D47" w:rsidP="003B39A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26D47" w:rsidRPr="00DA1288" w14:paraId="31431D12" w14:textId="77777777" w:rsidTr="00926D47">
        <w:tc>
          <w:tcPr>
            <w:tcW w:w="1105" w:type="pct"/>
            <w:shd w:val="clear" w:color="auto" w:fill="D9D9D9"/>
          </w:tcPr>
          <w:p w14:paraId="2BA87155" w14:textId="77777777" w:rsidR="00926D47" w:rsidRPr="00DA1288" w:rsidRDefault="00926D47" w:rsidP="003B39A5">
            <w:pPr>
              <w:spacing w:before="120" w:after="120"/>
              <w:rPr>
                <w:b/>
                <w:sz w:val="20"/>
                <w:szCs w:val="20"/>
              </w:rPr>
            </w:pPr>
            <w:r w:rsidRPr="00DA1288">
              <w:rPr>
                <w:b/>
                <w:sz w:val="20"/>
                <w:szCs w:val="20"/>
              </w:rPr>
              <w:t>Deputy Chair:</w:t>
            </w:r>
          </w:p>
        </w:tc>
        <w:tc>
          <w:tcPr>
            <w:tcW w:w="3895" w:type="pct"/>
            <w:shd w:val="clear" w:color="auto" w:fill="auto"/>
          </w:tcPr>
          <w:p w14:paraId="7810A2D1" w14:textId="77777777" w:rsidR="00926D47" w:rsidRPr="00DA1288" w:rsidRDefault="00926D47" w:rsidP="003B39A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26D47" w:rsidRPr="00DA1288" w14:paraId="77CBBB6B" w14:textId="77777777" w:rsidTr="00926D47">
        <w:tc>
          <w:tcPr>
            <w:tcW w:w="1105" w:type="pct"/>
            <w:shd w:val="clear" w:color="auto" w:fill="D9D9D9"/>
          </w:tcPr>
          <w:p w14:paraId="76BEF9CD" w14:textId="77777777" w:rsidR="00926D47" w:rsidRPr="00DA1288" w:rsidRDefault="00926D47" w:rsidP="003B39A5">
            <w:pPr>
              <w:spacing w:before="120" w:after="120"/>
              <w:ind w:right="-376"/>
              <w:rPr>
                <w:b/>
                <w:sz w:val="20"/>
                <w:szCs w:val="20"/>
              </w:rPr>
            </w:pPr>
            <w:r w:rsidRPr="008B4182">
              <w:rPr>
                <w:b/>
                <w:sz w:val="20"/>
                <w:szCs w:val="20"/>
              </w:rPr>
              <w:t xml:space="preserve">Effective Date </w:t>
            </w:r>
          </w:p>
        </w:tc>
        <w:tc>
          <w:tcPr>
            <w:tcW w:w="3895" w:type="pct"/>
            <w:shd w:val="clear" w:color="auto" w:fill="auto"/>
          </w:tcPr>
          <w:p w14:paraId="17822B81" w14:textId="77777777" w:rsidR="00926D47" w:rsidRPr="00DA1288" w:rsidRDefault="00926D47" w:rsidP="00926D47">
            <w:pPr>
              <w:spacing w:before="120"/>
              <w:ind w:righ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 effective date of terms of reference)</w:t>
            </w:r>
          </w:p>
        </w:tc>
      </w:tr>
      <w:tr w:rsidR="00926D47" w:rsidRPr="00DA1288" w14:paraId="79926FE0" w14:textId="77777777" w:rsidTr="00926D47">
        <w:trPr>
          <w:trHeight w:val="1617"/>
        </w:trPr>
        <w:tc>
          <w:tcPr>
            <w:tcW w:w="1105" w:type="pct"/>
            <w:shd w:val="clear" w:color="auto" w:fill="D9D9D9"/>
          </w:tcPr>
          <w:p w14:paraId="5DE1E39E" w14:textId="77777777" w:rsidR="00926D47" w:rsidRPr="00DA1288" w:rsidRDefault="00926D47" w:rsidP="003B39A5">
            <w:pPr>
              <w:spacing w:before="120" w:after="120"/>
              <w:rPr>
                <w:b/>
                <w:sz w:val="20"/>
                <w:szCs w:val="20"/>
              </w:rPr>
            </w:pPr>
            <w:r w:rsidRPr="00DA1288">
              <w:rPr>
                <w:b/>
                <w:sz w:val="20"/>
                <w:szCs w:val="20"/>
              </w:rPr>
              <w:t>Membership:</w:t>
            </w:r>
          </w:p>
        </w:tc>
        <w:tc>
          <w:tcPr>
            <w:tcW w:w="3895" w:type="pct"/>
            <w:shd w:val="clear" w:color="auto" w:fill="auto"/>
          </w:tcPr>
          <w:p w14:paraId="3DE60608" w14:textId="77777777" w:rsidR="00926D47" w:rsidRDefault="00926D47" w:rsidP="003B39A5">
            <w:pPr>
              <w:rPr>
                <w:sz w:val="20"/>
                <w:szCs w:val="20"/>
              </w:rPr>
            </w:pPr>
            <w:r w:rsidRPr="00B60CD4">
              <w:rPr>
                <w:sz w:val="20"/>
                <w:szCs w:val="20"/>
              </w:rPr>
              <w:t xml:space="preserve">Members representing the all-hazards EM sector will be nominated and selected based on demonstrated experience, expertise to fulfil the functions of the </w:t>
            </w:r>
            <w:r>
              <w:rPr>
                <w:sz w:val="20"/>
                <w:szCs w:val="20"/>
              </w:rPr>
              <w:t xml:space="preserve">subcommittee / </w:t>
            </w:r>
            <w:r w:rsidRPr="00B60CD4">
              <w:rPr>
                <w:sz w:val="20"/>
                <w:szCs w:val="20"/>
              </w:rPr>
              <w:t>reference group. Through its membership, the group aims to ensure all aspects of the membership capabilities are represented.</w:t>
            </w:r>
          </w:p>
          <w:p w14:paraId="3C822E62" w14:textId="77777777" w:rsidR="00926D47" w:rsidRDefault="00926D47" w:rsidP="003B39A5">
            <w:pPr>
              <w:rPr>
                <w:sz w:val="20"/>
                <w:szCs w:val="20"/>
              </w:rPr>
            </w:pPr>
          </w:p>
          <w:p w14:paraId="693A3865" w14:textId="77777777" w:rsidR="00926D47" w:rsidRPr="00DA1288" w:rsidRDefault="00926D47" w:rsidP="003B3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(List capabilities or organisations required to meet the objectives and functions)  </w:t>
            </w:r>
          </w:p>
        </w:tc>
      </w:tr>
      <w:tr w:rsidR="00926D47" w:rsidRPr="00DA1288" w14:paraId="47FC5C24" w14:textId="77777777" w:rsidTr="00926D47">
        <w:trPr>
          <w:trHeight w:val="696"/>
        </w:trPr>
        <w:tc>
          <w:tcPr>
            <w:tcW w:w="1105" w:type="pct"/>
            <w:shd w:val="clear" w:color="auto" w:fill="D9D9D9"/>
          </w:tcPr>
          <w:p w14:paraId="01DAE7E1" w14:textId="77777777" w:rsidR="00926D47" w:rsidRPr="00DA1288" w:rsidRDefault="00926D47" w:rsidP="003B39A5">
            <w:pPr>
              <w:spacing w:before="120" w:after="120"/>
              <w:rPr>
                <w:b/>
                <w:sz w:val="20"/>
                <w:szCs w:val="20"/>
              </w:rPr>
            </w:pPr>
            <w:r w:rsidRPr="00DA1288">
              <w:rPr>
                <w:b/>
                <w:sz w:val="20"/>
                <w:szCs w:val="20"/>
              </w:rPr>
              <w:t>Quorum</w:t>
            </w:r>
          </w:p>
        </w:tc>
        <w:tc>
          <w:tcPr>
            <w:tcW w:w="3895" w:type="pct"/>
            <w:shd w:val="clear" w:color="auto" w:fill="auto"/>
          </w:tcPr>
          <w:p w14:paraId="45FE4DD2" w14:textId="77777777" w:rsidR="00926D47" w:rsidRPr="00DA1288" w:rsidRDefault="00926D47" w:rsidP="003B39A5">
            <w:pPr>
              <w:spacing w:before="120"/>
              <w:rPr>
                <w:sz w:val="20"/>
                <w:szCs w:val="20"/>
              </w:rPr>
            </w:pPr>
            <w:proofErr w:type="gramStart"/>
            <w:r w:rsidRPr="00DA1288">
              <w:rPr>
                <w:sz w:val="20"/>
                <w:szCs w:val="20"/>
              </w:rPr>
              <w:t>In order for</w:t>
            </w:r>
            <w:proofErr w:type="gramEnd"/>
            <w:r w:rsidRPr="00DA1288">
              <w:rPr>
                <w:sz w:val="20"/>
                <w:szCs w:val="20"/>
              </w:rPr>
              <w:t xml:space="preserve"> decisions to be made at meetings there is to be a quorum of at least 50% of membership.</w:t>
            </w:r>
          </w:p>
        </w:tc>
      </w:tr>
      <w:tr w:rsidR="00926D47" w:rsidRPr="00DA1288" w14:paraId="7C1B95B4" w14:textId="77777777" w:rsidTr="00926D47">
        <w:trPr>
          <w:trHeight w:val="690"/>
        </w:trPr>
        <w:tc>
          <w:tcPr>
            <w:tcW w:w="1105" w:type="pct"/>
            <w:shd w:val="clear" w:color="auto" w:fill="D9D9D9"/>
          </w:tcPr>
          <w:p w14:paraId="37679C4F" w14:textId="77777777" w:rsidR="00926D47" w:rsidRPr="00DA1288" w:rsidRDefault="00926D47" w:rsidP="003B39A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Governance</w:t>
            </w:r>
          </w:p>
        </w:tc>
        <w:tc>
          <w:tcPr>
            <w:tcW w:w="3895" w:type="pct"/>
            <w:shd w:val="clear" w:color="auto" w:fill="auto"/>
          </w:tcPr>
          <w:p w14:paraId="1CE44444" w14:textId="77777777" w:rsidR="00926D47" w:rsidRPr="00DA1288" w:rsidRDefault="00926D47" w:rsidP="003B39A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EM Preparedness Procedure 20 established the procedures of this subcommittee / reference group.</w:t>
            </w:r>
          </w:p>
        </w:tc>
      </w:tr>
    </w:tbl>
    <w:p w14:paraId="494B12A6" w14:textId="77777777" w:rsidR="00DE7A75" w:rsidRDefault="00DE7A75"/>
    <w:p w14:paraId="601758AC" w14:textId="77777777" w:rsidR="00670762" w:rsidRDefault="00670762"/>
    <w:p w14:paraId="7AB1ADAD" w14:textId="77777777" w:rsidR="00670762" w:rsidRDefault="00670762"/>
    <w:p w14:paraId="0D60B4F8" w14:textId="77777777" w:rsidR="00670762" w:rsidRDefault="00670762"/>
    <w:p w14:paraId="520B4FF4" w14:textId="77777777" w:rsidR="00670762" w:rsidRDefault="00670762"/>
    <w:p w14:paraId="170736E2" w14:textId="77777777" w:rsidR="00670762" w:rsidRDefault="00670762"/>
    <w:p w14:paraId="0AD13D84" w14:textId="77777777" w:rsidR="00670762" w:rsidRDefault="00670762"/>
    <w:p w14:paraId="1831BA63" w14:textId="77777777" w:rsidR="00670762" w:rsidRDefault="00670762"/>
    <w:sectPr w:rsidR="00670762" w:rsidSect="006707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D659" w14:textId="77777777" w:rsidR="00926D47" w:rsidRDefault="00926D47" w:rsidP="00926D47">
      <w:r>
        <w:separator/>
      </w:r>
    </w:p>
  </w:endnote>
  <w:endnote w:type="continuationSeparator" w:id="0">
    <w:p w14:paraId="703B35A4" w14:textId="77777777" w:rsidR="00926D47" w:rsidRDefault="00926D47" w:rsidP="0092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5">
    <w:altName w:val="Calibri"/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BF88" w14:textId="77777777" w:rsidR="00926D47" w:rsidRPr="00BB6143" w:rsidRDefault="00926D47">
    <w:pPr>
      <w:pStyle w:val="Footer"/>
      <w:rPr>
        <w:sz w:val="20"/>
      </w:rPr>
    </w:pPr>
    <w:r w:rsidRPr="00BB6143">
      <w:rPr>
        <w:sz w:val="20"/>
      </w:rPr>
      <w:t>Subcommittee/Reference Group name</w:t>
    </w:r>
    <w:r w:rsidR="00BB6143">
      <w:rPr>
        <w:sz w:val="20"/>
      </w:rPr>
      <w:t xml:space="preserve"> Terms of Reference</w:t>
    </w:r>
    <w:r w:rsidRPr="00BB6143">
      <w:rPr>
        <w:sz w:val="20"/>
      </w:rPr>
      <w:t xml:space="preserve"> – Amended</w:t>
    </w:r>
    <w:r w:rsidR="00670762">
      <w:rPr>
        <w:sz w:val="20"/>
      </w:rPr>
      <w:t xml:space="preserve"> xx </w:t>
    </w:r>
    <w:proofErr w:type="spellStart"/>
    <w:r w:rsidR="00670762">
      <w:rPr>
        <w:sz w:val="20"/>
      </w:rPr>
      <w:t>xxxxx</w:t>
    </w:r>
    <w:proofErr w:type="spellEnd"/>
    <w:r w:rsidR="00670762">
      <w:rPr>
        <w:sz w:val="20"/>
      </w:rPr>
      <w:t xml:space="preserve"> </w:t>
    </w:r>
    <w:proofErr w:type="spellStart"/>
    <w:r w:rsidR="00670762">
      <w:rPr>
        <w:sz w:val="20"/>
      </w:rPr>
      <w:t>xxxx</w:t>
    </w:r>
    <w:proofErr w:type="spellEnd"/>
    <w:r w:rsidRPr="00BB6143">
      <w:rPr>
        <w:sz w:val="20"/>
      </w:rPr>
      <w:tab/>
    </w:r>
    <w:r w:rsidRPr="00BB6143">
      <w:rPr>
        <w:sz w:val="20"/>
      </w:rPr>
      <w:fldChar w:fldCharType="begin"/>
    </w:r>
    <w:r w:rsidRPr="00BB6143">
      <w:rPr>
        <w:sz w:val="20"/>
      </w:rPr>
      <w:instrText xml:space="preserve"> PAGE   \* MERGEFORMAT </w:instrText>
    </w:r>
    <w:r w:rsidRPr="00BB6143">
      <w:rPr>
        <w:sz w:val="20"/>
      </w:rPr>
      <w:fldChar w:fldCharType="separate"/>
    </w:r>
    <w:r w:rsidRPr="00BB6143">
      <w:rPr>
        <w:noProof/>
        <w:sz w:val="20"/>
      </w:rPr>
      <w:t>1</w:t>
    </w:r>
    <w:r w:rsidRPr="00BB6143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975D" w14:textId="77777777" w:rsidR="00670762" w:rsidRPr="00670762" w:rsidRDefault="00670762">
    <w:pPr>
      <w:pStyle w:val="Footer"/>
      <w:rPr>
        <w:sz w:val="20"/>
      </w:rPr>
    </w:pPr>
    <w:r w:rsidRPr="00BB6143">
      <w:rPr>
        <w:sz w:val="20"/>
      </w:rPr>
      <w:t>Subcommittee/Reference Group name</w:t>
    </w:r>
    <w:r>
      <w:rPr>
        <w:sz w:val="20"/>
      </w:rPr>
      <w:t xml:space="preserve"> Terms of Reference</w:t>
    </w:r>
    <w:r w:rsidRPr="00BB6143">
      <w:rPr>
        <w:sz w:val="20"/>
      </w:rPr>
      <w:t xml:space="preserve"> – Amended</w:t>
    </w:r>
    <w:r>
      <w:rPr>
        <w:sz w:val="20"/>
      </w:rPr>
      <w:t xml:space="preserve"> xx </w:t>
    </w:r>
    <w:proofErr w:type="spellStart"/>
    <w:r>
      <w:rPr>
        <w:sz w:val="20"/>
      </w:rPr>
      <w:t>xxxxx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xxxx</w:t>
    </w:r>
    <w:proofErr w:type="spellEnd"/>
    <w:r w:rsidRPr="00BB6143">
      <w:rPr>
        <w:sz w:val="20"/>
      </w:rPr>
      <w:tab/>
    </w:r>
    <w:r w:rsidRPr="00BB6143">
      <w:rPr>
        <w:sz w:val="20"/>
      </w:rPr>
      <w:fldChar w:fldCharType="begin"/>
    </w:r>
    <w:r w:rsidRPr="00BB6143">
      <w:rPr>
        <w:sz w:val="20"/>
      </w:rPr>
      <w:instrText xml:space="preserve"> PAGE   \* MERGEFORMAT </w:instrText>
    </w:r>
    <w:r w:rsidRPr="00BB6143">
      <w:rPr>
        <w:sz w:val="20"/>
      </w:rPr>
      <w:fldChar w:fldCharType="separate"/>
    </w:r>
    <w:r>
      <w:rPr>
        <w:sz w:val="20"/>
      </w:rPr>
      <w:t>2</w:t>
    </w:r>
    <w:r w:rsidRPr="00BB614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15A7" w14:textId="77777777" w:rsidR="00926D47" w:rsidRDefault="00926D47" w:rsidP="00926D47">
      <w:r>
        <w:separator/>
      </w:r>
    </w:p>
  </w:footnote>
  <w:footnote w:type="continuationSeparator" w:id="0">
    <w:p w14:paraId="2935FC44" w14:textId="77777777" w:rsidR="00926D47" w:rsidRDefault="00926D47" w:rsidP="0092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0010" w14:textId="77777777" w:rsidR="00AE1F0E" w:rsidRDefault="00AE1F0E" w:rsidP="00AE1F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4D75" w14:textId="6A885DDE" w:rsidR="00670762" w:rsidRDefault="00F545F2" w:rsidP="00670762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6BCB4F6" wp14:editId="5D1BD677">
          <wp:simplePos x="0" y="0"/>
          <wp:positionH relativeFrom="margin">
            <wp:align>center</wp:align>
          </wp:positionH>
          <wp:positionV relativeFrom="paragraph">
            <wp:posOffset>182880</wp:posOffset>
          </wp:positionV>
          <wp:extent cx="1078865" cy="719455"/>
          <wp:effectExtent l="0" t="0" r="6985" b="4445"/>
          <wp:wrapNone/>
          <wp:docPr id="2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47"/>
    <w:rsid w:val="0011369D"/>
    <w:rsid w:val="00626DD2"/>
    <w:rsid w:val="006442A6"/>
    <w:rsid w:val="00670762"/>
    <w:rsid w:val="0079257F"/>
    <w:rsid w:val="0083396C"/>
    <w:rsid w:val="0085576C"/>
    <w:rsid w:val="00926D47"/>
    <w:rsid w:val="00AE1F0E"/>
    <w:rsid w:val="00BB6143"/>
    <w:rsid w:val="00D16294"/>
    <w:rsid w:val="00DE7A75"/>
    <w:rsid w:val="00F545F2"/>
    <w:rsid w:val="00F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A6A21"/>
  <w15:chartTrackingRefBased/>
  <w15:docId w15:val="{9529D034-9A7F-4FE9-BE5B-9AF9FAC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6D47"/>
    <w:pPr>
      <w:widowControl w:val="0"/>
      <w:autoSpaceDE w:val="0"/>
      <w:autoSpaceDN w:val="0"/>
      <w:spacing w:after="0" w:line="240" w:lineRule="auto"/>
    </w:pPr>
    <w:rPr>
      <w:rFonts w:ascii="Univers LT Std 45 Light" w:eastAsia="Univers LT Std 45 Light" w:hAnsi="Univers LT Std 45 Light" w:cs="Univers LT Std 45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D47"/>
    <w:rPr>
      <w:rFonts w:ascii="Univers LT Std 45 Light" w:eastAsia="Univers LT Std 45 Light" w:hAnsi="Univers LT Std 45 Light" w:cs="Univers LT Std 45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6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D47"/>
    <w:rPr>
      <w:rFonts w:ascii="Univers LT Std 45 Light" w:eastAsia="Univers LT Std 45 Light" w:hAnsi="Univers LT Std 45 Light" w:cs="Univers LT Std 45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F5473E6-F179-4F83-B1A1-F8E462005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1217F-492F-4DCF-9EE4-D487CDAB0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884EFD-2BDF-4407-BC08-53C5DFF61B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12DAB4-570B-4E7C-9BA9-802C65709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814990-8C0A-4078-BC8E-CC1BA2EFA7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Fire and Emergency Services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Abby</dc:creator>
  <cp:keywords/>
  <dc:description/>
  <cp:lastModifiedBy>PATTERSON Carla</cp:lastModifiedBy>
  <cp:revision>2</cp:revision>
  <cp:lastPrinted>2019-09-26T04:25:00Z</cp:lastPrinted>
  <dcterms:created xsi:type="dcterms:W3CDTF">2022-08-25T02:27:00Z</dcterms:created>
  <dcterms:modified xsi:type="dcterms:W3CDTF">2022-08-25T02:27:00Z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