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1645C" w14:textId="3C762461" w:rsidR="00235379" w:rsidRPr="004F1412" w:rsidRDefault="003E62AC" w:rsidP="003E62AC">
      <w:pPr>
        <w:jc w:val="center"/>
        <w:rPr>
          <w:b/>
          <w:bCs/>
          <w:sz w:val="28"/>
          <w:szCs w:val="28"/>
        </w:rPr>
      </w:pPr>
      <w:r w:rsidRPr="003E62AC">
        <w:rPr>
          <w:b/>
          <w:bCs/>
          <w:noProof/>
          <w:sz w:val="28"/>
          <w:szCs w:val="28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B5E6971" wp14:editId="6194136B">
                <wp:simplePos x="0" y="0"/>
                <wp:positionH relativeFrom="column">
                  <wp:posOffset>-74428</wp:posOffset>
                </wp:positionH>
                <wp:positionV relativeFrom="paragraph">
                  <wp:posOffset>-297712</wp:posOffset>
                </wp:positionV>
                <wp:extent cx="8218968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896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04D16" w14:textId="002D85C3" w:rsidR="003E62AC" w:rsidRPr="004F1412" w:rsidRDefault="00B93444" w:rsidP="003E62AC">
                            <w:pPr>
                              <w:pStyle w:val="Head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F14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HANDOUT </w:t>
                            </w:r>
                            <w:r w:rsidR="0046314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3 - </w:t>
                            </w:r>
                            <w:r w:rsidR="00463144" w:rsidRPr="000F5ABF">
                              <w:rPr>
                                <w:b/>
                                <w:sz w:val="20"/>
                              </w:rPr>
                              <w:t>TAC Education Workshop</w:t>
                            </w:r>
                            <w:r w:rsidR="00463144" w:rsidRPr="000F5ABF">
                              <w:rPr>
                                <w:sz w:val="20"/>
                              </w:rPr>
                              <w:t xml:space="preserve"> – </w:t>
                            </w:r>
                            <w:r w:rsidR="00463144" w:rsidRPr="00BE14CF">
                              <w:rPr>
                                <w:sz w:val="20"/>
                              </w:rPr>
                              <w:t>Designing RTO Training &amp; Assessment Strategies</w:t>
                            </w:r>
                          </w:p>
                          <w:p w14:paraId="11A59C81" w14:textId="59578154" w:rsidR="003E62AC" w:rsidRDefault="003E62A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5E69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85pt;margin-top:-23.45pt;width:647.1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" filled="f" stroked="f">
                <v:textbox style="mso-fit-shape-to-text:t">
                  <w:txbxContent>
                    <w:p w14:paraId="65704D16" w14:textId="002D85C3" w:rsidR="003E62AC" w:rsidRPr="004F1412" w:rsidRDefault="00B93444" w:rsidP="003E62AC">
                      <w:pPr>
                        <w:pStyle w:val="Head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4F1412">
                        <w:rPr>
                          <w:b/>
                          <w:bCs/>
                          <w:sz w:val="32"/>
                          <w:szCs w:val="32"/>
                        </w:rPr>
                        <w:t xml:space="preserve">HANDOUT </w:t>
                      </w:r>
                      <w:r w:rsidR="00463144">
                        <w:rPr>
                          <w:b/>
                          <w:bCs/>
                          <w:sz w:val="32"/>
                          <w:szCs w:val="32"/>
                        </w:rPr>
                        <w:t xml:space="preserve">3 - </w:t>
                      </w:r>
                      <w:r w:rsidR="00463144" w:rsidRPr="000F5ABF">
                        <w:rPr>
                          <w:b/>
                          <w:sz w:val="20"/>
                        </w:rPr>
                        <w:t>TAC Education Workshop</w:t>
                      </w:r>
                      <w:r w:rsidR="00463144" w:rsidRPr="000F5ABF">
                        <w:rPr>
                          <w:sz w:val="20"/>
                        </w:rPr>
                        <w:t xml:space="preserve"> – </w:t>
                      </w:r>
                      <w:r w:rsidR="00463144" w:rsidRPr="00BE14CF">
                        <w:rPr>
                          <w:sz w:val="20"/>
                        </w:rPr>
                        <w:t>Designing RTO Training &amp; Assessment Strategies</w:t>
                      </w:r>
                    </w:p>
                    <w:p w14:paraId="11A59C81" w14:textId="59578154" w:rsidR="003E62AC" w:rsidRDefault="003E62AC"/>
                  </w:txbxContent>
                </v:textbox>
              </v:shape>
            </w:pict>
          </mc:Fallback>
        </mc:AlternateContent>
      </w:r>
      <w:r w:rsidR="00235379" w:rsidRPr="004F1412">
        <w:rPr>
          <w:b/>
          <w:bCs/>
          <w:sz w:val="28"/>
          <w:szCs w:val="28"/>
        </w:rPr>
        <w:t>Industry Engagement Activities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620"/>
        <w:gridCol w:w="4680"/>
        <w:gridCol w:w="2790"/>
        <w:gridCol w:w="1980"/>
        <w:gridCol w:w="2970"/>
      </w:tblGrid>
      <w:tr w:rsidR="00E94B7E" w:rsidRPr="00367E8C" w14:paraId="7B748E2D" w14:textId="77777777" w:rsidTr="003E62AC">
        <w:trPr>
          <w:tblHeader/>
        </w:trPr>
        <w:tc>
          <w:tcPr>
            <w:tcW w:w="1345" w:type="dxa"/>
            <w:shd w:val="clear" w:color="auto" w:fill="2F5496" w:themeFill="accent1" w:themeFillShade="BF"/>
          </w:tcPr>
          <w:p w14:paraId="6AC42711" w14:textId="17CA6FEA" w:rsidR="00235379" w:rsidRPr="00367E8C" w:rsidRDefault="00235379">
            <w:pPr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>Activity</w:t>
            </w:r>
          </w:p>
        </w:tc>
        <w:tc>
          <w:tcPr>
            <w:tcW w:w="1620" w:type="dxa"/>
            <w:shd w:val="clear" w:color="auto" w:fill="2F5496" w:themeFill="accent1" w:themeFillShade="BF"/>
          </w:tcPr>
          <w:p w14:paraId="1B69B6C3" w14:textId="077384FB" w:rsidR="00235379" w:rsidRPr="00367E8C" w:rsidRDefault="00235379" w:rsidP="00235379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 xml:space="preserve">Who </w:t>
            </w:r>
            <w:r w:rsidR="004F1412" w:rsidRPr="00367E8C">
              <w:rPr>
                <w:b/>
                <w:bCs/>
                <w:color w:val="FFFFFF" w:themeColor="background1"/>
              </w:rPr>
              <w:t>would be</w:t>
            </w:r>
            <w:r w:rsidRPr="00367E8C">
              <w:rPr>
                <w:b/>
                <w:bCs/>
                <w:color w:val="FFFFFF" w:themeColor="background1"/>
              </w:rPr>
              <w:t xml:space="preserve"> involved</w:t>
            </w:r>
            <w:r w:rsidR="004F1412" w:rsidRPr="00367E8C">
              <w:rPr>
                <w:b/>
                <w:bCs/>
                <w:color w:val="FFFFFF" w:themeColor="background1"/>
              </w:rPr>
              <w:t xml:space="preserve"> in this activity?</w:t>
            </w:r>
          </w:p>
          <w:p w14:paraId="021BA686" w14:textId="77777777" w:rsidR="00235379" w:rsidRPr="00367E8C" w:rsidRDefault="00235379" w:rsidP="00235379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4680" w:type="dxa"/>
            <w:shd w:val="clear" w:color="auto" w:fill="2F5496" w:themeFill="accent1" w:themeFillShade="BF"/>
          </w:tcPr>
          <w:p w14:paraId="79D01301" w14:textId="75C153B8" w:rsidR="00235379" w:rsidRPr="00367E8C" w:rsidRDefault="00235379" w:rsidP="00235379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 xml:space="preserve">What type of information / questions </w:t>
            </w:r>
            <w:r w:rsidR="004F1412" w:rsidRPr="00367E8C">
              <w:rPr>
                <w:b/>
                <w:bCs/>
                <w:color w:val="FFFFFF" w:themeColor="background1"/>
              </w:rPr>
              <w:t>could be asked and gathered?</w:t>
            </w:r>
          </w:p>
        </w:tc>
        <w:tc>
          <w:tcPr>
            <w:tcW w:w="2790" w:type="dxa"/>
            <w:shd w:val="clear" w:color="auto" w:fill="2F5496" w:themeFill="accent1" w:themeFillShade="BF"/>
          </w:tcPr>
          <w:p w14:paraId="62151F82" w14:textId="77777777" w:rsidR="00235379" w:rsidRPr="00367E8C" w:rsidRDefault="00235379" w:rsidP="00235379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>What works well about the approach</w:t>
            </w:r>
          </w:p>
          <w:p w14:paraId="3E7613A3" w14:textId="77777777" w:rsidR="00235379" w:rsidRPr="00367E8C" w:rsidRDefault="00235379" w:rsidP="00235379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2F5496" w:themeFill="accent1" w:themeFillShade="BF"/>
          </w:tcPr>
          <w:p w14:paraId="52DC31F3" w14:textId="6B8F97E5" w:rsidR="00235379" w:rsidRPr="00367E8C" w:rsidRDefault="00235379" w:rsidP="00235379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>When in the qualification lifecycle can it be used</w:t>
            </w:r>
            <w:r w:rsidR="00367E8C" w:rsidRPr="00367E8C">
              <w:rPr>
                <w:b/>
                <w:bCs/>
                <w:color w:val="FFFFFF" w:themeColor="background1"/>
              </w:rPr>
              <w:t>?</w:t>
            </w:r>
          </w:p>
        </w:tc>
        <w:tc>
          <w:tcPr>
            <w:tcW w:w="2970" w:type="dxa"/>
            <w:shd w:val="clear" w:color="auto" w:fill="2F5496" w:themeFill="accent1" w:themeFillShade="BF"/>
          </w:tcPr>
          <w:p w14:paraId="64751A08" w14:textId="7EC31264" w:rsidR="00235379" w:rsidRPr="00367E8C" w:rsidRDefault="00235379" w:rsidP="00235379">
            <w:pPr>
              <w:spacing w:after="160" w:line="259" w:lineRule="auto"/>
              <w:rPr>
                <w:b/>
                <w:bCs/>
                <w:color w:val="FFFFFF" w:themeColor="background1"/>
              </w:rPr>
            </w:pPr>
            <w:r w:rsidRPr="00367E8C">
              <w:rPr>
                <w:b/>
                <w:bCs/>
                <w:color w:val="FFFFFF" w:themeColor="background1"/>
              </w:rPr>
              <w:t>What challenges can be encountered with this approach</w:t>
            </w:r>
            <w:r w:rsidR="00367E8C" w:rsidRPr="00367E8C">
              <w:rPr>
                <w:b/>
                <w:bCs/>
                <w:color w:val="FFFFFF" w:themeColor="background1"/>
              </w:rPr>
              <w:t>?</w:t>
            </w:r>
            <w:r w:rsidRPr="00367E8C">
              <w:rPr>
                <w:b/>
                <w:bCs/>
                <w:color w:val="FFFFFF" w:themeColor="background1"/>
              </w:rPr>
              <w:t xml:space="preserve"> </w:t>
            </w:r>
          </w:p>
        </w:tc>
      </w:tr>
      <w:tr w:rsidR="00E94B7E" w14:paraId="4AB8AA3C" w14:textId="77777777" w:rsidTr="003E62AC">
        <w:tc>
          <w:tcPr>
            <w:tcW w:w="1345" w:type="dxa"/>
          </w:tcPr>
          <w:p w14:paraId="417F5C6B" w14:textId="07E4EFA0" w:rsidR="00235379" w:rsidRDefault="00A811C4">
            <w:r>
              <w:t>Joint Working Group</w:t>
            </w:r>
            <w:r w:rsidR="00BD0D2C">
              <w:t>s</w:t>
            </w:r>
            <w:r>
              <w:t xml:space="preserve"> </w:t>
            </w:r>
          </w:p>
        </w:tc>
        <w:tc>
          <w:tcPr>
            <w:tcW w:w="1620" w:type="dxa"/>
          </w:tcPr>
          <w:p w14:paraId="7B0E94EC" w14:textId="1056A90E" w:rsidR="00BD0D2C" w:rsidRDefault="00A811C4">
            <w:r>
              <w:t xml:space="preserve">The RTO </w:t>
            </w:r>
            <w:r w:rsidR="00BD0D2C">
              <w:t xml:space="preserve">staff, trainers and assessors, </w:t>
            </w:r>
          </w:p>
          <w:p w14:paraId="459A1026" w14:textId="6F5216AF" w:rsidR="00235379" w:rsidRDefault="00BD0D2C">
            <w:r>
              <w:t xml:space="preserve">Enterprise </w:t>
            </w:r>
            <w:r w:rsidR="00E94B7E">
              <w:t xml:space="preserve">content experts that might include </w:t>
            </w:r>
            <w:r>
              <w:t>supervisors, managers.</w:t>
            </w:r>
          </w:p>
          <w:p w14:paraId="4E094951" w14:textId="7AE88743" w:rsidR="00BD0D2C" w:rsidRDefault="00BD0D2C"/>
        </w:tc>
        <w:tc>
          <w:tcPr>
            <w:tcW w:w="4680" w:type="dxa"/>
          </w:tcPr>
          <w:p w14:paraId="50AD5960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Key skill development areas</w:t>
            </w:r>
          </w:p>
          <w:p w14:paraId="52D70918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Competencies to be developed through the program</w:t>
            </w:r>
          </w:p>
          <w:p w14:paraId="5E45D247" w14:textId="77777777" w:rsidR="00E94B7E" w:rsidRPr="00E91423" w:rsidRDefault="00E94B7E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Contextualisation of the Training Package</w:t>
            </w:r>
          </w:p>
          <w:p w14:paraId="5E44675F" w14:textId="0355CDA0" w:rsidR="00E94B7E" w:rsidRPr="00E91423" w:rsidRDefault="00E94B7E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>
              <w:rPr>
                <w:rFonts w:ascii="Univers-Light" w:hAnsi="Univers-Light" w:cs="Univers-Light"/>
                <w:sz w:val="20"/>
                <w:szCs w:val="20"/>
              </w:rPr>
              <w:t>I</w:t>
            </w:r>
            <w:r w:rsidRPr="00E91423">
              <w:rPr>
                <w:rFonts w:ascii="Univers-Light" w:hAnsi="Univers-Light" w:cs="Univers-Light"/>
                <w:sz w:val="20"/>
                <w:szCs w:val="20"/>
              </w:rPr>
              <w:t>ntegrating enterprise operating procedures with</w:t>
            </w:r>
            <w:r>
              <w:rPr>
                <w:rFonts w:ascii="Univers-Light" w:hAnsi="Univers-Light" w:cs="Univers-Light"/>
                <w:sz w:val="20"/>
                <w:szCs w:val="20"/>
              </w:rPr>
              <w:t xml:space="preserve"> </w:t>
            </w:r>
            <w:r w:rsidRPr="00E91423">
              <w:rPr>
                <w:rFonts w:ascii="Univers-Light" w:hAnsi="Univers-Light" w:cs="Univers-Light"/>
                <w:sz w:val="20"/>
                <w:szCs w:val="20"/>
              </w:rPr>
              <w:t>competency standards</w:t>
            </w:r>
          </w:p>
          <w:p w14:paraId="013E8148" w14:textId="77777777" w:rsidR="00E94B7E" w:rsidRPr="00E91423" w:rsidRDefault="00E94B7E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Integrating enterprise performance standards with</w:t>
            </w:r>
            <w:r>
              <w:rPr>
                <w:rFonts w:ascii="Univers-Light" w:hAnsi="Univers-Light" w:cs="Univers-Light"/>
                <w:sz w:val="20"/>
                <w:szCs w:val="20"/>
              </w:rPr>
              <w:t xml:space="preserve"> </w:t>
            </w:r>
            <w:r w:rsidRPr="00E91423">
              <w:rPr>
                <w:rFonts w:ascii="Univers-Light" w:hAnsi="Univers-Light" w:cs="Univers-Light"/>
                <w:sz w:val="20"/>
                <w:szCs w:val="20"/>
              </w:rPr>
              <w:t>competency standards</w:t>
            </w:r>
          </w:p>
          <w:p w14:paraId="55F24B7F" w14:textId="77777777" w:rsidR="00E94B7E" w:rsidRPr="00E91423" w:rsidRDefault="00E94B7E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Competencies delivered and assessed on-the-job</w:t>
            </w:r>
          </w:p>
          <w:p w14:paraId="4B4724A6" w14:textId="77777777" w:rsidR="00E94B7E" w:rsidRPr="00E91423" w:rsidRDefault="00E94B7E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Competencies delivered and assessed off-the-job</w:t>
            </w:r>
          </w:p>
          <w:p w14:paraId="3B7F6BBA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Enterprise capacity to deliver and assess</w:t>
            </w:r>
          </w:p>
          <w:p w14:paraId="225493FE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RTO capacity to deliver and assess</w:t>
            </w:r>
          </w:p>
          <w:p w14:paraId="17E254C5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Sequencing of delivery and assessment</w:t>
            </w:r>
          </w:p>
          <w:p w14:paraId="60DAC1B0" w14:textId="77777777" w:rsidR="00E91423" w:rsidRPr="00E91423" w:rsidRDefault="00E91423" w:rsidP="00E9142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 w:rsidRPr="00E91423">
              <w:rPr>
                <w:rFonts w:ascii="Univers-Light" w:hAnsi="Univers-Light" w:cs="Univers-Light"/>
                <w:sz w:val="20"/>
                <w:szCs w:val="20"/>
              </w:rPr>
              <w:t>Recognition of prior learning</w:t>
            </w:r>
          </w:p>
          <w:p w14:paraId="554E7719" w14:textId="7062ED59" w:rsidR="00E91423" w:rsidRPr="00E94B7E" w:rsidRDefault="00E91423" w:rsidP="00E94B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Univers-Light" w:hAnsi="Univers-Light" w:cs="Univers-Light"/>
                <w:sz w:val="20"/>
                <w:szCs w:val="20"/>
              </w:rPr>
            </w:pPr>
            <w:r>
              <w:rPr>
                <w:rFonts w:ascii="Univers-Light" w:hAnsi="Univers-Light" w:cs="Univers-Light"/>
                <w:sz w:val="20"/>
                <w:szCs w:val="20"/>
              </w:rPr>
              <w:t xml:space="preserve">Evidence collection and the use of </w:t>
            </w:r>
            <w:r w:rsidRPr="00E91423">
              <w:rPr>
                <w:rFonts w:ascii="Univers-Light" w:hAnsi="Univers-Light" w:cs="Univers-Light"/>
                <w:sz w:val="20"/>
                <w:szCs w:val="20"/>
              </w:rPr>
              <w:t>simulation in evidence gathering</w:t>
            </w:r>
          </w:p>
        </w:tc>
        <w:tc>
          <w:tcPr>
            <w:tcW w:w="2790" w:type="dxa"/>
          </w:tcPr>
          <w:p w14:paraId="26B7472B" w14:textId="540B46C8" w:rsidR="00235379" w:rsidRPr="00367E8C" w:rsidRDefault="00BD0D2C" w:rsidP="00367E8C">
            <w:r w:rsidRPr="00367E8C">
              <w:t>This approach is particularly suited to situations where small RTOs or specialist units within larger RTOs are contracted to provide delivery and assessment solutions for individual enterprises</w:t>
            </w:r>
            <w:r w:rsidR="00367E8C">
              <w:t>.</w:t>
            </w:r>
            <w:bookmarkStart w:id="0" w:name="_GoBack"/>
            <w:bookmarkEnd w:id="0"/>
          </w:p>
          <w:p w14:paraId="2E3D9F73" w14:textId="77777777" w:rsidR="00367E8C" w:rsidRPr="00367E8C" w:rsidRDefault="00367E8C" w:rsidP="00367E8C"/>
          <w:p w14:paraId="3E3BEFA5" w14:textId="008250B1" w:rsidR="00367E8C" w:rsidRPr="00367E8C" w:rsidRDefault="00367E8C" w:rsidP="00367E8C">
            <w:r w:rsidRPr="00367E8C">
              <w:t>The approach produces a high level of enterprise / industry ownership and confidence in the strategies developed by the RTO.</w:t>
            </w:r>
          </w:p>
        </w:tc>
        <w:tc>
          <w:tcPr>
            <w:tcW w:w="1980" w:type="dxa"/>
          </w:tcPr>
          <w:p w14:paraId="6605CCA5" w14:textId="31D1B897" w:rsidR="00367E8C" w:rsidRPr="00367E8C" w:rsidRDefault="00E94B7E" w:rsidP="00367E8C">
            <w:r>
              <w:t>M</w:t>
            </w:r>
            <w:r w:rsidR="00367E8C" w:rsidRPr="00367E8C">
              <w:t xml:space="preserve">ost suited to </w:t>
            </w:r>
          </w:p>
          <w:p w14:paraId="249AFD00" w14:textId="2CBFC592" w:rsidR="00367E8C" w:rsidRDefault="00367E8C" w:rsidP="00367E8C">
            <w:r w:rsidRPr="00367E8C">
              <w:t>the development</w:t>
            </w:r>
            <w:r>
              <w:t xml:space="preserve"> and design phase of a project. </w:t>
            </w:r>
            <w:r w:rsidRPr="00367E8C">
              <w:t xml:space="preserve"> </w:t>
            </w:r>
          </w:p>
          <w:p w14:paraId="1C65668F" w14:textId="575AF750" w:rsidR="00235379" w:rsidRDefault="00235379" w:rsidP="00367E8C"/>
        </w:tc>
        <w:tc>
          <w:tcPr>
            <w:tcW w:w="2970" w:type="dxa"/>
          </w:tcPr>
          <w:p w14:paraId="791C38B7" w14:textId="6A50EBA7" w:rsidR="00235379" w:rsidRDefault="00367E8C" w:rsidP="00367E8C">
            <w:r w:rsidRPr="00367E8C">
              <w:t>The approach is time- and resource-intensive</w:t>
            </w:r>
            <w:r w:rsidR="003E62AC">
              <w:t xml:space="preserve"> </w:t>
            </w:r>
            <w:r w:rsidRPr="00367E8C">
              <w:t>and could be chosen by the RTO for liaison</w:t>
            </w:r>
            <w:r w:rsidR="003E62AC">
              <w:t xml:space="preserve"> </w:t>
            </w:r>
            <w:r w:rsidRPr="00367E8C">
              <w:t>with companies with which they want to</w:t>
            </w:r>
            <w:r w:rsidR="003E62AC">
              <w:t xml:space="preserve"> </w:t>
            </w:r>
            <w:r w:rsidRPr="00367E8C">
              <w:t>establish strategic alliances.</w:t>
            </w:r>
          </w:p>
        </w:tc>
      </w:tr>
      <w:tr w:rsidR="00E94B7E" w14:paraId="53D65F37" w14:textId="77777777" w:rsidTr="003E62AC">
        <w:tc>
          <w:tcPr>
            <w:tcW w:w="1345" w:type="dxa"/>
          </w:tcPr>
          <w:p w14:paraId="67A04DC6" w14:textId="5F6ABC73" w:rsidR="00235379" w:rsidRDefault="00E94B7E">
            <w:r>
              <w:t>Workplace visits</w:t>
            </w:r>
          </w:p>
          <w:p w14:paraId="773A61BF" w14:textId="77777777" w:rsidR="00E94B7E" w:rsidRDefault="00E94B7E"/>
          <w:p w14:paraId="39DCBACC" w14:textId="77777777" w:rsidR="00E94B7E" w:rsidRDefault="00E94B7E"/>
          <w:p w14:paraId="131AA03D" w14:textId="77777777" w:rsidR="00E94B7E" w:rsidRDefault="00E94B7E"/>
          <w:p w14:paraId="3BC8EE90" w14:textId="77777777" w:rsidR="00E94B7E" w:rsidRDefault="00E94B7E"/>
          <w:p w14:paraId="34830062" w14:textId="77777777" w:rsidR="003E62AC" w:rsidRDefault="003E62AC"/>
          <w:p w14:paraId="7D6EF8C9" w14:textId="77777777" w:rsidR="003E62AC" w:rsidRDefault="003E62AC"/>
          <w:p w14:paraId="52FC8728" w14:textId="77777777" w:rsidR="003E62AC" w:rsidRDefault="003E62AC"/>
          <w:p w14:paraId="119ABB28" w14:textId="29EE28CB" w:rsidR="003E62AC" w:rsidRDefault="003E62AC"/>
          <w:p w14:paraId="17EB0F42" w14:textId="2FB518D7" w:rsidR="003E62AC" w:rsidRDefault="003E62AC"/>
          <w:p w14:paraId="5186BCFB" w14:textId="77777777" w:rsidR="003E62AC" w:rsidRDefault="003E62AC"/>
          <w:p w14:paraId="29678D0D" w14:textId="780AA3ED" w:rsidR="003E62AC" w:rsidRDefault="003E62AC"/>
        </w:tc>
        <w:tc>
          <w:tcPr>
            <w:tcW w:w="1620" w:type="dxa"/>
          </w:tcPr>
          <w:p w14:paraId="049AE99E" w14:textId="77777777" w:rsidR="00235379" w:rsidRDefault="00235379"/>
        </w:tc>
        <w:tc>
          <w:tcPr>
            <w:tcW w:w="4680" w:type="dxa"/>
          </w:tcPr>
          <w:p w14:paraId="46010739" w14:textId="77777777" w:rsidR="00235379" w:rsidRDefault="00235379"/>
        </w:tc>
        <w:tc>
          <w:tcPr>
            <w:tcW w:w="2790" w:type="dxa"/>
          </w:tcPr>
          <w:p w14:paraId="307EF1B8" w14:textId="7F1B6ABB" w:rsidR="0015248C" w:rsidRDefault="0015248C"/>
          <w:p w14:paraId="1BACE145" w14:textId="77777777" w:rsidR="0015248C" w:rsidRPr="0015248C" w:rsidRDefault="0015248C" w:rsidP="0015248C"/>
          <w:p w14:paraId="199C73C2" w14:textId="77777777" w:rsidR="0015248C" w:rsidRPr="0015248C" w:rsidRDefault="0015248C" w:rsidP="0015248C"/>
          <w:p w14:paraId="17227543" w14:textId="77777777" w:rsidR="0015248C" w:rsidRPr="0015248C" w:rsidRDefault="0015248C" w:rsidP="0015248C"/>
          <w:p w14:paraId="3A9D8A8F" w14:textId="77777777" w:rsidR="0015248C" w:rsidRPr="0015248C" w:rsidRDefault="0015248C" w:rsidP="0015248C"/>
          <w:p w14:paraId="58ECEE58" w14:textId="77777777" w:rsidR="0015248C" w:rsidRPr="0015248C" w:rsidRDefault="0015248C" w:rsidP="0015248C"/>
          <w:p w14:paraId="2429520A" w14:textId="77777777" w:rsidR="0015248C" w:rsidRPr="0015248C" w:rsidRDefault="0015248C" w:rsidP="0015248C"/>
          <w:p w14:paraId="23F6F119" w14:textId="77777777" w:rsidR="0015248C" w:rsidRPr="0015248C" w:rsidRDefault="0015248C" w:rsidP="0015248C"/>
          <w:p w14:paraId="59DA806B" w14:textId="45335029" w:rsidR="0015248C" w:rsidRDefault="0015248C" w:rsidP="0015248C"/>
          <w:p w14:paraId="2163E266" w14:textId="77777777" w:rsidR="0015248C" w:rsidRPr="0015248C" w:rsidRDefault="0015248C" w:rsidP="0015248C"/>
          <w:p w14:paraId="312D97BB" w14:textId="77777777" w:rsidR="0015248C" w:rsidRPr="0015248C" w:rsidRDefault="0015248C" w:rsidP="0015248C"/>
          <w:p w14:paraId="780253FF" w14:textId="77777777" w:rsidR="0015248C" w:rsidRPr="0015248C" w:rsidRDefault="0015248C" w:rsidP="0015248C"/>
          <w:p w14:paraId="5C96FCF9" w14:textId="6C7C5936" w:rsidR="0015248C" w:rsidRDefault="0015248C" w:rsidP="0015248C"/>
          <w:p w14:paraId="79776F37" w14:textId="77777777" w:rsidR="00235379" w:rsidRPr="0015248C" w:rsidRDefault="00235379" w:rsidP="0015248C">
            <w:pPr>
              <w:jc w:val="center"/>
            </w:pPr>
          </w:p>
        </w:tc>
        <w:tc>
          <w:tcPr>
            <w:tcW w:w="1980" w:type="dxa"/>
          </w:tcPr>
          <w:p w14:paraId="110BFBC9" w14:textId="77777777" w:rsidR="00235379" w:rsidRDefault="00235379"/>
        </w:tc>
        <w:tc>
          <w:tcPr>
            <w:tcW w:w="2970" w:type="dxa"/>
          </w:tcPr>
          <w:p w14:paraId="13C6FCA1" w14:textId="77777777" w:rsidR="00235379" w:rsidRDefault="00235379"/>
        </w:tc>
      </w:tr>
      <w:tr w:rsidR="00E94B7E" w14:paraId="6C4CEE53" w14:textId="77777777" w:rsidTr="003E62AC">
        <w:tc>
          <w:tcPr>
            <w:tcW w:w="1345" w:type="dxa"/>
          </w:tcPr>
          <w:p w14:paraId="6138DEC5" w14:textId="77777777" w:rsidR="00235379" w:rsidRDefault="003E62AC">
            <w:r>
              <w:t>Industry meetings, networks or conferences</w:t>
            </w:r>
          </w:p>
          <w:p w14:paraId="39D359AD" w14:textId="77777777" w:rsidR="003E62AC" w:rsidRDefault="003E62AC"/>
          <w:p w14:paraId="0CF426E5" w14:textId="77777777" w:rsidR="003E62AC" w:rsidRDefault="003E62AC"/>
          <w:p w14:paraId="3A5C49C3" w14:textId="77777777" w:rsidR="003E62AC" w:rsidRDefault="003E62AC"/>
          <w:p w14:paraId="211A1B0B" w14:textId="77777777" w:rsidR="003E62AC" w:rsidRDefault="003E62AC"/>
          <w:p w14:paraId="7C1E62EA" w14:textId="77777777" w:rsidR="003E62AC" w:rsidRDefault="003E62AC"/>
          <w:p w14:paraId="1FF3D075" w14:textId="77777777" w:rsidR="003E62AC" w:rsidRDefault="003E62AC"/>
          <w:p w14:paraId="3D971830" w14:textId="77777777" w:rsidR="003E62AC" w:rsidRDefault="003E62AC"/>
          <w:p w14:paraId="4BF321E7" w14:textId="77777777" w:rsidR="003E62AC" w:rsidRDefault="003E62AC"/>
          <w:p w14:paraId="6EA00F73" w14:textId="0D7DAC96" w:rsidR="003E62AC" w:rsidRDefault="003E62AC"/>
          <w:p w14:paraId="2952A912" w14:textId="77777777" w:rsidR="003E62AC" w:rsidRDefault="003E62AC"/>
          <w:p w14:paraId="620F99B2" w14:textId="6887AC92" w:rsidR="003E62AC" w:rsidRDefault="003E62AC"/>
        </w:tc>
        <w:tc>
          <w:tcPr>
            <w:tcW w:w="1620" w:type="dxa"/>
          </w:tcPr>
          <w:p w14:paraId="0B881DE8" w14:textId="77777777" w:rsidR="00235379" w:rsidRDefault="00235379"/>
        </w:tc>
        <w:tc>
          <w:tcPr>
            <w:tcW w:w="4680" w:type="dxa"/>
          </w:tcPr>
          <w:p w14:paraId="7FEFF165" w14:textId="77777777" w:rsidR="00235379" w:rsidRDefault="00235379"/>
        </w:tc>
        <w:tc>
          <w:tcPr>
            <w:tcW w:w="2790" w:type="dxa"/>
          </w:tcPr>
          <w:p w14:paraId="330C9EA9" w14:textId="77777777" w:rsidR="00235379" w:rsidRDefault="00235379"/>
        </w:tc>
        <w:tc>
          <w:tcPr>
            <w:tcW w:w="1980" w:type="dxa"/>
          </w:tcPr>
          <w:p w14:paraId="062F93B0" w14:textId="77777777" w:rsidR="00235379" w:rsidRDefault="00235379"/>
        </w:tc>
        <w:tc>
          <w:tcPr>
            <w:tcW w:w="2970" w:type="dxa"/>
          </w:tcPr>
          <w:p w14:paraId="6A4175B1" w14:textId="77777777" w:rsidR="00235379" w:rsidRDefault="00235379"/>
        </w:tc>
      </w:tr>
      <w:tr w:rsidR="00E94B7E" w14:paraId="774C29A3" w14:textId="77777777" w:rsidTr="003E62AC">
        <w:tc>
          <w:tcPr>
            <w:tcW w:w="1345" w:type="dxa"/>
          </w:tcPr>
          <w:p w14:paraId="5195968C" w14:textId="23B89090" w:rsidR="003E62AC" w:rsidRDefault="003E62AC">
            <w:r>
              <w:t>Providing information</w:t>
            </w:r>
          </w:p>
          <w:p w14:paraId="7A8EAA98" w14:textId="4E337198" w:rsidR="003E62AC" w:rsidRDefault="003E62AC"/>
          <w:p w14:paraId="2699AF1C" w14:textId="67B80820" w:rsidR="003E62AC" w:rsidRDefault="003E62AC">
            <w:r>
              <w:t>From the RTO or from Industry</w:t>
            </w:r>
          </w:p>
          <w:p w14:paraId="66ACB115" w14:textId="77777777" w:rsidR="003E62AC" w:rsidRDefault="003E62AC"/>
          <w:p w14:paraId="7D4B4F66" w14:textId="77777777" w:rsidR="003E62AC" w:rsidRDefault="003E62AC"/>
          <w:p w14:paraId="0ECD2293" w14:textId="77777777" w:rsidR="003E62AC" w:rsidRDefault="003E62AC"/>
          <w:p w14:paraId="102F8F48" w14:textId="77777777" w:rsidR="003E62AC" w:rsidRDefault="003E62AC"/>
          <w:p w14:paraId="71EC4B1B" w14:textId="77777777" w:rsidR="003E62AC" w:rsidRDefault="003E62AC"/>
          <w:p w14:paraId="53B5BAC8" w14:textId="77777777" w:rsidR="003E62AC" w:rsidRDefault="003E62AC"/>
          <w:p w14:paraId="029862BF" w14:textId="77777777" w:rsidR="003E62AC" w:rsidRDefault="003E62AC"/>
          <w:p w14:paraId="449D9D7A" w14:textId="77777777" w:rsidR="003E62AC" w:rsidRDefault="003E62AC"/>
          <w:p w14:paraId="718B12EC" w14:textId="77777777" w:rsidR="003E62AC" w:rsidRDefault="003E62AC"/>
          <w:p w14:paraId="5E5FDCFD" w14:textId="1A1C94A9" w:rsidR="00235379" w:rsidRDefault="00235379"/>
        </w:tc>
        <w:tc>
          <w:tcPr>
            <w:tcW w:w="1620" w:type="dxa"/>
          </w:tcPr>
          <w:p w14:paraId="1EADB30C" w14:textId="77777777" w:rsidR="00235379" w:rsidRDefault="00235379"/>
        </w:tc>
        <w:tc>
          <w:tcPr>
            <w:tcW w:w="4680" w:type="dxa"/>
          </w:tcPr>
          <w:p w14:paraId="08BAA4BC" w14:textId="77777777" w:rsidR="00235379" w:rsidRDefault="00235379"/>
        </w:tc>
        <w:tc>
          <w:tcPr>
            <w:tcW w:w="2790" w:type="dxa"/>
          </w:tcPr>
          <w:p w14:paraId="7B4E7DCF" w14:textId="77777777" w:rsidR="00235379" w:rsidRDefault="00235379"/>
        </w:tc>
        <w:tc>
          <w:tcPr>
            <w:tcW w:w="1980" w:type="dxa"/>
          </w:tcPr>
          <w:p w14:paraId="0D3D7346" w14:textId="77777777" w:rsidR="00235379" w:rsidRDefault="00235379"/>
        </w:tc>
        <w:tc>
          <w:tcPr>
            <w:tcW w:w="2970" w:type="dxa"/>
          </w:tcPr>
          <w:p w14:paraId="097C0EB0" w14:textId="77777777" w:rsidR="00235379" w:rsidRDefault="00235379"/>
        </w:tc>
      </w:tr>
      <w:tr w:rsidR="00E94B7E" w14:paraId="7C925284" w14:textId="77777777" w:rsidTr="003E62AC">
        <w:tc>
          <w:tcPr>
            <w:tcW w:w="1345" w:type="dxa"/>
          </w:tcPr>
          <w:p w14:paraId="22FFFBC0" w14:textId="557FD37C" w:rsidR="003E62AC" w:rsidRDefault="003E62AC" w:rsidP="003E62AC">
            <w:r>
              <w:t>Embedding Industry staff in an RTO or vice versa</w:t>
            </w:r>
          </w:p>
          <w:p w14:paraId="23E12FD0" w14:textId="10F40A65" w:rsidR="003E62AC" w:rsidRDefault="003E62AC" w:rsidP="003E62AC"/>
          <w:p w14:paraId="7D3F7145" w14:textId="77777777" w:rsidR="003E62AC" w:rsidRDefault="003E62AC" w:rsidP="003E62AC"/>
          <w:p w14:paraId="4AA9C1BD" w14:textId="77777777" w:rsidR="00235379" w:rsidRDefault="00235379"/>
          <w:p w14:paraId="07DE1F9D" w14:textId="77777777" w:rsidR="003E62AC" w:rsidRDefault="003E62AC"/>
          <w:p w14:paraId="255103B1" w14:textId="77777777" w:rsidR="003E62AC" w:rsidRDefault="003E62AC"/>
          <w:p w14:paraId="27058DB0" w14:textId="77777777" w:rsidR="003E62AC" w:rsidRDefault="003E62AC"/>
          <w:p w14:paraId="572E006E" w14:textId="1AD36B3B" w:rsidR="003E62AC" w:rsidRDefault="003E62AC"/>
          <w:p w14:paraId="3BC58628" w14:textId="77777777" w:rsidR="003E62AC" w:rsidRDefault="003E62AC"/>
          <w:p w14:paraId="3FE638CB" w14:textId="1B1953C2" w:rsidR="003E62AC" w:rsidRDefault="003E62AC"/>
        </w:tc>
        <w:tc>
          <w:tcPr>
            <w:tcW w:w="1620" w:type="dxa"/>
          </w:tcPr>
          <w:p w14:paraId="7E1D90D8" w14:textId="77777777" w:rsidR="00235379" w:rsidRDefault="00235379"/>
        </w:tc>
        <w:tc>
          <w:tcPr>
            <w:tcW w:w="4680" w:type="dxa"/>
          </w:tcPr>
          <w:p w14:paraId="4F4AAB26" w14:textId="77777777" w:rsidR="00235379" w:rsidRDefault="00235379"/>
        </w:tc>
        <w:tc>
          <w:tcPr>
            <w:tcW w:w="2790" w:type="dxa"/>
          </w:tcPr>
          <w:p w14:paraId="7E94B43B" w14:textId="77777777" w:rsidR="00235379" w:rsidRDefault="00235379"/>
        </w:tc>
        <w:tc>
          <w:tcPr>
            <w:tcW w:w="1980" w:type="dxa"/>
          </w:tcPr>
          <w:p w14:paraId="29D33D10" w14:textId="77777777" w:rsidR="00235379" w:rsidRDefault="00235379"/>
        </w:tc>
        <w:tc>
          <w:tcPr>
            <w:tcW w:w="2970" w:type="dxa"/>
          </w:tcPr>
          <w:p w14:paraId="27DA4B95" w14:textId="77777777" w:rsidR="00235379" w:rsidRDefault="00235379"/>
        </w:tc>
      </w:tr>
      <w:tr w:rsidR="00E94B7E" w14:paraId="3D5C76E0" w14:textId="77777777" w:rsidTr="003E62AC">
        <w:tc>
          <w:tcPr>
            <w:tcW w:w="1345" w:type="dxa"/>
          </w:tcPr>
          <w:p w14:paraId="26F655CF" w14:textId="5176E8A4" w:rsidR="003E62AC" w:rsidRDefault="003E62AC">
            <w:r>
              <w:t>Establishing an industry focus group or advisory group</w:t>
            </w:r>
          </w:p>
          <w:p w14:paraId="5856DE70" w14:textId="77777777" w:rsidR="003E62AC" w:rsidRDefault="003E62AC"/>
          <w:p w14:paraId="7DCB7507" w14:textId="77777777" w:rsidR="003E62AC" w:rsidRDefault="003E62AC"/>
          <w:p w14:paraId="4845E010" w14:textId="77777777" w:rsidR="003E62AC" w:rsidRDefault="003E62AC"/>
          <w:p w14:paraId="2B2F254F" w14:textId="77777777" w:rsidR="003E62AC" w:rsidRDefault="003E62AC"/>
          <w:p w14:paraId="6E4F3FA6" w14:textId="77777777" w:rsidR="003E62AC" w:rsidRDefault="003E62AC"/>
          <w:p w14:paraId="3223CEE9" w14:textId="77777777" w:rsidR="003E62AC" w:rsidRDefault="003E62AC"/>
          <w:p w14:paraId="10D2E396" w14:textId="77777777" w:rsidR="003E62AC" w:rsidRDefault="003E62AC"/>
          <w:p w14:paraId="73E3CEFD" w14:textId="77777777" w:rsidR="003E62AC" w:rsidRDefault="003E62AC"/>
          <w:p w14:paraId="667915BC" w14:textId="77777777" w:rsidR="003E62AC" w:rsidRDefault="003E62AC"/>
          <w:p w14:paraId="1474856C" w14:textId="44967598" w:rsidR="003E62AC" w:rsidRDefault="003E62AC"/>
        </w:tc>
        <w:tc>
          <w:tcPr>
            <w:tcW w:w="1620" w:type="dxa"/>
          </w:tcPr>
          <w:p w14:paraId="552F3043" w14:textId="77777777" w:rsidR="00235379" w:rsidRDefault="00235379"/>
        </w:tc>
        <w:tc>
          <w:tcPr>
            <w:tcW w:w="4680" w:type="dxa"/>
          </w:tcPr>
          <w:p w14:paraId="0E5B64BE" w14:textId="77777777" w:rsidR="00235379" w:rsidRDefault="00235379"/>
        </w:tc>
        <w:tc>
          <w:tcPr>
            <w:tcW w:w="2790" w:type="dxa"/>
          </w:tcPr>
          <w:p w14:paraId="63347DCD" w14:textId="77777777" w:rsidR="00235379" w:rsidRDefault="00235379"/>
        </w:tc>
        <w:tc>
          <w:tcPr>
            <w:tcW w:w="1980" w:type="dxa"/>
          </w:tcPr>
          <w:p w14:paraId="6FCB04D3" w14:textId="77777777" w:rsidR="00235379" w:rsidRDefault="00235379"/>
        </w:tc>
        <w:tc>
          <w:tcPr>
            <w:tcW w:w="2970" w:type="dxa"/>
          </w:tcPr>
          <w:p w14:paraId="5A850D4F" w14:textId="77777777" w:rsidR="00235379" w:rsidRDefault="00235379"/>
        </w:tc>
      </w:tr>
    </w:tbl>
    <w:p w14:paraId="05C63E1A" w14:textId="77777777" w:rsidR="00235379" w:rsidRDefault="00235379" w:rsidP="000C7968"/>
    <w:sectPr w:rsidR="00235379" w:rsidSect="003E62AC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C507" w14:textId="77777777" w:rsidR="0051246B" w:rsidRDefault="0051246B" w:rsidP="004F1412">
      <w:pPr>
        <w:spacing w:after="0" w:line="240" w:lineRule="auto"/>
      </w:pPr>
      <w:r>
        <w:separator/>
      </w:r>
    </w:p>
  </w:endnote>
  <w:endnote w:type="continuationSeparator" w:id="0">
    <w:p w14:paraId="52F5F53C" w14:textId="77777777" w:rsidR="0051246B" w:rsidRDefault="0051246B" w:rsidP="004F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22921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08B033" w14:textId="77777777" w:rsidR="00463144" w:rsidRPr="00BE14CF" w:rsidRDefault="00463144" w:rsidP="00463144">
            <w:pPr>
              <w:pStyle w:val="Footer"/>
              <w:rPr>
                <w:i/>
                <w:sz w:val="18"/>
              </w:rPr>
            </w:pPr>
            <w:r>
              <w:rPr>
                <w:sz w:val="18"/>
              </w:rPr>
              <w:t>Version: 02</w:t>
            </w:r>
            <w:r w:rsidRPr="00BE14CF">
              <w:rPr>
                <w:sz w:val="18"/>
              </w:rPr>
              <w:t>-</w:t>
            </w:r>
            <w:proofErr w:type="gramStart"/>
            <w:r w:rsidRPr="00BE14CF">
              <w:rPr>
                <w:sz w:val="18"/>
              </w:rPr>
              <w:t>20  Created</w:t>
            </w:r>
            <w:proofErr w:type="gramEnd"/>
            <w:r w:rsidRPr="00BE14CF">
              <w:rPr>
                <w:sz w:val="18"/>
              </w:rPr>
              <w:t xml:space="preserve"> </w:t>
            </w:r>
            <w:r>
              <w:rPr>
                <w:sz w:val="18"/>
              </w:rPr>
              <w:t>13</w:t>
            </w:r>
            <w:r w:rsidRPr="00BE14CF">
              <w:rPr>
                <w:sz w:val="18"/>
              </w:rPr>
              <w:t xml:space="preserve">/10/20        </w:t>
            </w:r>
          </w:p>
          <w:p w14:paraId="1CCFCBEA" w14:textId="731B64A8" w:rsidR="005E4A50" w:rsidRDefault="00463144" w:rsidP="00463144">
            <w:pPr>
              <w:pStyle w:val="Footer"/>
            </w:pPr>
            <w:r w:rsidRPr="00BE14CF">
              <w:rPr>
                <w:i/>
                <w:sz w:val="18"/>
              </w:rPr>
              <w:t>Please note these tools have not been assessed for compliances against the Standards for RTOs and are for workshop purposes onl</w:t>
            </w:r>
            <w:r>
              <w:rPr>
                <w:i/>
                <w:sz w:val="18"/>
              </w:rPr>
              <w:t>y</w:t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="00E22754">
              <w:rPr>
                <w:rFonts w:cstheme="minorHAnsi"/>
                <w:color w:val="808080" w:themeColor="background1" w:themeShade="80"/>
                <w:sz w:val="20"/>
              </w:rPr>
              <w:tab/>
            </w:r>
            <w:r w:rsidRPr="00463144">
              <w:t>P</w:t>
            </w:r>
            <w:r w:rsidR="005E4A50">
              <w:t xml:space="preserve">age </w:t>
            </w:r>
            <w:r w:rsidR="005E4A50">
              <w:rPr>
                <w:b/>
                <w:bCs/>
                <w:sz w:val="24"/>
                <w:szCs w:val="24"/>
              </w:rPr>
              <w:fldChar w:fldCharType="begin"/>
            </w:r>
            <w:r w:rsidR="005E4A50">
              <w:rPr>
                <w:b/>
                <w:bCs/>
              </w:rPr>
              <w:instrText xml:space="preserve"> PAGE </w:instrText>
            </w:r>
            <w:r w:rsidR="005E4A50">
              <w:rPr>
                <w:b/>
                <w:bCs/>
                <w:sz w:val="24"/>
                <w:szCs w:val="24"/>
              </w:rPr>
              <w:fldChar w:fldCharType="separate"/>
            </w:r>
            <w:r w:rsidR="000C7968">
              <w:rPr>
                <w:b/>
                <w:bCs/>
                <w:noProof/>
              </w:rPr>
              <w:t>2</w:t>
            </w:r>
            <w:r w:rsidR="005E4A50">
              <w:rPr>
                <w:b/>
                <w:bCs/>
                <w:sz w:val="24"/>
                <w:szCs w:val="24"/>
              </w:rPr>
              <w:fldChar w:fldCharType="end"/>
            </w:r>
            <w:r w:rsidR="005E4A50">
              <w:t xml:space="preserve"> of </w:t>
            </w:r>
            <w:r w:rsidR="005E4A50">
              <w:rPr>
                <w:b/>
                <w:bCs/>
                <w:sz w:val="24"/>
                <w:szCs w:val="24"/>
              </w:rPr>
              <w:fldChar w:fldCharType="begin"/>
            </w:r>
            <w:r w:rsidR="005E4A50">
              <w:rPr>
                <w:b/>
                <w:bCs/>
              </w:rPr>
              <w:instrText xml:space="preserve"> NUMPAGES  </w:instrText>
            </w:r>
            <w:r w:rsidR="005E4A50">
              <w:rPr>
                <w:b/>
                <w:bCs/>
                <w:sz w:val="24"/>
                <w:szCs w:val="24"/>
              </w:rPr>
              <w:fldChar w:fldCharType="separate"/>
            </w:r>
            <w:r w:rsidR="000C7968">
              <w:rPr>
                <w:b/>
                <w:bCs/>
                <w:noProof/>
              </w:rPr>
              <w:t>3</w:t>
            </w:r>
            <w:r w:rsidR="005E4A5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C2CCF" w14:textId="77777777" w:rsidR="0051246B" w:rsidRDefault="0051246B" w:rsidP="004F1412">
      <w:pPr>
        <w:spacing w:after="0" w:line="240" w:lineRule="auto"/>
      </w:pPr>
      <w:r>
        <w:separator/>
      </w:r>
    </w:p>
  </w:footnote>
  <w:footnote w:type="continuationSeparator" w:id="0">
    <w:p w14:paraId="20527EE2" w14:textId="77777777" w:rsidR="0051246B" w:rsidRDefault="0051246B" w:rsidP="004F1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5084C"/>
    <w:multiLevelType w:val="hybridMultilevel"/>
    <w:tmpl w:val="D35CFA56"/>
    <w:lvl w:ilvl="0" w:tplc="4DC4F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6E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D4E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82D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62C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414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DA06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EC3C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C8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24A73"/>
    <w:multiLevelType w:val="hybridMultilevel"/>
    <w:tmpl w:val="E1CE4E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79"/>
    <w:rsid w:val="000C7968"/>
    <w:rsid w:val="0015248C"/>
    <w:rsid w:val="00235379"/>
    <w:rsid w:val="00367E8C"/>
    <w:rsid w:val="003E62AC"/>
    <w:rsid w:val="00463144"/>
    <w:rsid w:val="004F1412"/>
    <w:rsid w:val="0051246B"/>
    <w:rsid w:val="005E4A50"/>
    <w:rsid w:val="00703B77"/>
    <w:rsid w:val="008417C2"/>
    <w:rsid w:val="00A811C4"/>
    <w:rsid w:val="00B7789B"/>
    <w:rsid w:val="00B93444"/>
    <w:rsid w:val="00BD0D2C"/>
    <w:rsid w:val="00E22754"/>
    <w:rsid w:val="00E91423"/>
    <w:rsid w:val="00E9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3173E6"/>
  <w15:chartTrackingRefBased/>
  <w15:docId w15:val="{FBD4805F-3D35-47DB-B10F-AA9C065C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1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412"/>
  </w:style>
  <w:style w:type="paragraph" w:styleId="Footer">
    <w:name w:val="footer"/>
    <w:basedOn w:val="Normal"/>
    <w:link w:val="FooterChar"/>
    <w:uiPriority w:val="99"/>
    <w:unhideWhenUsed/>
    <w:rsid w:val="004F1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412"/>
  </w:style>
  <w:style w:type="paragraph" w:styleId="ListParagraph">
    <w:name w:val="List Paragraph"/>
    <w:basedOn w:val="Normal"/>
    <w:uiPriority w:val="34"/>
    <w:qFormat/>
    <w:rsid w:val="00E914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712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643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891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883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494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4</cp:revision>
  <cp:lastPrinted>2020-05-30T09:33:00Z</cp:lastPrinted>
  <dcterms:created xsi:type="dcterms:W3CDTF">2020-10-13T08:12:00Z</dcterms:created>
  <dcterms:modified xsi:type="dcterms:W3CDTF">2020-10-30T03:02:00Z</dcterms:modified>
</cp:coreProperties>
</file>