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792E" w14:textId="2B3418B0" w:rsidR="00146739" w:rsidRPr="002E5756" w:rsidRDefault="008114B3" w:rsidP="002E5756">
      <w:pPr>
        <w:pStyle w:val="Title"/>
      </w:pPr>
      <w:r w:rsidRPr="002E5756">
        <w:t xml:space="preserve">COPP </w:t>
      </w:r>
      <w:r w:rsidR="00B14BC2">
        <w:t>12.</w:t>
      </w:r>
      <w:r w:rsidR="003A291A">
        <w:t>6</w:t>
      </w:r>
      <w:r w:rsidR="004852A8">
        <w:t xml:space="preserve"> </w:t>
      </w:r>
      <w:r w:rsidR="00B14BC2">
        <w:t xml:space="preserve">Prisoners in </w:t>
      </w:r>
      <w:r w:rsidR="006650DF">
        <w:t>W</w:t>
      </w:r>
      <w:r w:rsidR="00A07A77">
        <w:t>estern Australian (W</w:t>
      </w:r>
      <w:r w:rsidR="006650DF">
        <w:t>A</w:t>
      </w:r>
      <w:r w:rsidR="00A07A77">
        <w:t>)</w:t>
      </w:r>
      <w:r w:rsidR="006650DF">
        <w:t xml:space="preserve"> </w:t>
      </w:r>
      <w:r w:rsidR="00FF01D7">
        <w:t>Police</w:t>
      </w:r>
      <w:r w:rsidR="006650DF">
        <w:t xml:space="preserve"> Force</w:t>
      </w:r>
      <w:r w:rsidR="00FF01D7">
        <w:t xml:space="preserve"> </w:t>
      </w:r>
      <w:r w:rsidR="00B14BC2">
        <w:t>Lockups</w:t>
      </w:r>
      <w:r w:rsidR="00321CB2">
        <w:t xml:space="preserve"> </w:t>
      </w:r>
    </w:p>
    <w:p w14:paraId="5BA0BECA" w14:textId="77777777" w:rsidR="000D69A3" w:rsidRPr="00EA7EAC" w:rsidRDefault="00A547EA" w:rsidP="00EA7EAC">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D13D19A" w14:textId="77777777" w:rsidTr="000E684A">
        <w:trPr>
          <w:trHeight w:val="4088"/>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0C4267F" w14:textId="77777777" w:rsidR="00126611" w:rsidRPr="00365E34" w:rsidRDefault="00126611" w:rsidP="00126611">
            <w:pPr>
              <w:pStyle w:val="Heading"/>
            </w:pPr>
            <w:r>
              <w:t>Principles</w:t>
            </w:r>
          </w:p>
          <w:p w14:paraId="4005AB2E" w14:textId="77777777" w:rsidR="00505C3E" w:rsidRPr="00505C3E" w:rsidRDefault="001A0C6D" w:rsidP="00505C3E">
            <w:pPr>
              <w:spacing w:before="60" w:line="240" w:lineRule="exact"/>
              <w:rPr>
                <w:i/>
              </w:rPr>
            </w:pPr>
            <w:hyperlink r:id="rId12" w:history="1">
              <w:r w:rsidR="00505C3E" w:rsidRPr="00A2041E">
                <w:rPr>
                  <w:rStyle w:val="Hyperlink"/>
                  <w:color w:val="auto"/>
                  <w:u w:val="none"/>
                </w:rPr>
                <w:t>As referenced in the</w:t>
              </w:r>
              <w:r w:rsidR="00505C3E" w:rsidRPr="00A2041E">
                <w:rPr>
                  <w:rStyle w:val="Hyperlink"/>
                  <w:i/>
                  <w:u w:val="none"/>
                </w:rPr>
                <w:t xml:space="preserve"> </w:t>
              </w:r>
              <w:r w:rsidR="00505C3E" w:rsidRPr="00D11E8A">
                <w:rPr>
                  <w:rStyle w:val="Hyperlink"/>
                </w:rPr>
                <w:t>Guiding Principles for Corrections in Australia, 2018</w:t>
              </w:r>
              <w:r w:rsidR="00505C3E" w:rsidRPr="00D11E8A">
                <w:rPr>
                  <w:rStyle w:val="Hyperlink"/>
                  <w:i/>
                </w:rPr>
                <w:t>:</w:t>
              </w:r>
            </w:hyperlink>
          </w:p>
          <w:p w14:paraId="3484E3C5" w14:textId="77777777" w:rsidR="00B14BC2" w:rsidRDefault="00B14BC2" w:rsidP="00FB6B31"/>
          <w:p w14:paraId="6922D129" w14:textId="77777777" w:rsidR="00B14BC2" w:rsidRPr="00286EAD" w:rsidRDefault="00B14BC2" w:rsidP="000E684A">
            <w:r>
              <w:t>3</w:t>
            </w:r>
            <w:r w:rsidRPr="00286EAD">
              <w:t>.1.11 Persons in custody are transported using fit for purpose vehicles that are safe and meet relevant standards and are subject to regular and routine safety checks.</w:t>
            </w:r>
          </w:p>
          <w:p w14:paraId="77BEEE81" w14:textId="77777777" w:rsidR="00B14BC2" w:rsidRPr="00286EAD" w:rsidRDefault="00B14BC2" w:rsidP="000E684A"/>
          <w:p w14:paraId="72D0B82E" w14:textId="77777777" w:rsidR="00B14BC2" w:rsidRPr="008B4F3F" w:rsidRDefault="000E684A" w:rsidP="000E684A">
            <w:r>
              <w:t>3.1.12 T</w:t>
            </w:r>
            <w:r w:rsidR="00B14BC2" w:rsidRPr="00286EAD">
              <w:t>ransport of persons in custody is conducted in a safe and humane manner, taking into account the dignity of the person being transported.</w:t>
            </w:r>
          </w:p>
          <w:p w14:paraId="4C36BD83" w14:textId="77777777" w:rsidR="00B14BC2" w:rsidRDefault="00B14BC2" w:rsidP="000E684A">
            <w:pPr>
              <w:rPr>
                <w:highlight w:val="yellow"/>
              </w:rPr>
            </w:pPr>
          </w:p>
          <w:p w14:paraId="6B112DB8" w14:textId="77777777" w:rsidR="00B14BC2" w:rsidRDefault="00B14BC2" w:rsidP="000E684A">
            <w:r w:rsidRPr="003D7CF0">
              <w:t>3.1.13 Where prisoners who present an extreme risk require movement outside a secure environment, comprehensive risk assessments are conducted and movements are planned to mitigate risks to staff, the community and the prisoner.</w:t>
            </w:r>
            <w:r w:rsidRPr="00286EAD">
              <w:t xml:space="preserve"> </w:t>
            </w:r>
          </w:p>
        </w:tc>
      </w:tr>
    </w:tbl>
    <w:p w14:paraId="4C5CA7D5" w14:textId="77777777" w:rsidR="00663830" w:rsidRPr="00663830" w:rsidRDefault="00663830" w:rsidP="00663830"/>
    <w:p w14:paraId="199F7AA3" w14:textId="77777777" w:rsidR="00663830" w:rsidRPr="00663830" w:rsidRDefault="00663830" w:rsidP="00663830"/>
    <w:p w14:paraId="1630740B"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5BE07FA5" w14:textId="77777777" w:rsidR="00311D27" w:rsidRPr="00A46175" w:rsidRDefault="00311D27" w:rsidP="00A46175">
      <w:r w:rsidRPr="00A46175">
        <w:br w:type="page"/>
      </w:r>
    </w:p>
    <w:p w14:paraId="4E8DB8E1" w14:textId="77777777" w:rsidR="000E684A" w:rsidRPr="00AF7DDC" w:rsidRDefault="00FA1D8B" w:rsidP="00D66609">
      <w:pPr>
        <w:pStyle w:val="Heading"/>
      </w:pPr>
      <w:r w:rsidRPr="00AF7DDC">
        <w:lastRenderedPageBreak/>
        <w:t>Contents</w:t>
      </w:r>
    </w:p>
    <w:p w14:paraId="75FE603F" w14:textId="590B131F" w:rsidR="00321CB2" w:rsidRDefault="007E1398" w:rsidP="00321CB2">
      <w:pPr>
        <w:pStyle w:val="TOC1"/>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40067663" w:history="1">
        <w:r w:rsidR="00321CB2" w:rsidRPr="004E0794">
          <w:rPr>
            <w:rStyle w:val="Hyperlink"/>
            <w:noProof/>
          </w:rPr>
          <w:t>1</w:t>
        </w:r>
        <w:r w:rsidR="00321CB2">
          <w:rPr>
            <w:rFonts w:asciiTheme="minorHAnsi" w:eastAsiaTheme="minorEastAsia" w:hAnsiTheme="minorHAnsi" w:cstheme="minorBidi"/>
            <w:noProof/>
            <w:sz w:val="22"/>
            <w:szCs w:val="22"/>
            <w:lang w:eastAsia="en-AU"/>
          </w:rPr>
          <w:tab/>
        </w:r>
        <w:r w:rsidR="00321CB2" w:rsidRPr="004E0794">
          <w:rPr>
            <w:rStyle w:val="Hyperlink"/>
            <w:noProof/>
          </w:rPr>
          <w:t>Scope</w:t>
        </w:r>
        <w:r w:rsidR="00321CB2">
          <w:rPr>
            <w:noProof/>
            <w:webHidden/>
          </w:rPr>
          <w:tab/>
        </w:r>
        <w:r w:rsidR="00321CB2">
          <w:rPr>
            <w:noProof/>
            <w:webHidden/>
          </w:rPr>
          <w:fldChar w:fldCharType="begin"/>
        </w:r>
        <w:r w:rsidR="00321CB2">
          <w:rPr>
            <w:noProof/>
            <w:webHidden/>
          </w:rPr>
          <w:instrText xml:space="preserve"> PAGEREF _Toc140067663 \h </w:instrText>
        </w:r>
        <w:r w:rsidR="00321CB2">
          <w:rPr>
            <w:noProof/>
            <w:webHidden/>
          </w:rPr>
        </w:r>
        <w:r w:rsidR="00321CB2">
          <w:rPr>
            <w:noProof/>
            <w:webHidden/>
          </w:rPr>
          <w:fldChar w:fldCharType="separate"/>
        </w:r>
        <w:r w:rsidR="00321CB2">
          <w:rPr>
            <w:noProof/>
            <w:webHidden/>
          </w:rPr>
          <w:t>3</w:t>
        </w:r>
        <w:r w:rsidR="00321CB2">
          <w:rPr>
            <w:noProof/>
            <w:webHidden/>
          </w:rPr>
          <w:fldChar w:fldCharType="end"/>
        </w:r>
      </w:hyperlink>
    </w:p>
    <w:p w14:paraId="3ABF3FDB" w14:textId="054682E0" w:rsidR="00321CB2" w:rsidRDefault="001A0C6D" w:rsidP="00321CB2">
      <w:pPr>
        <w:pStyle w:val="TOC1"/>
        <w:rPr>
          <w:rFonts w:asciiTheme="minorHAnsi" w:eastAsiaTheme="minorEastAsia" w:hAnsiTheme="minorHAnsi" w:cstheme="minorBidi"/>
          <w:noProof/>
          <w:sz w:val="22"/>
          <w:szCs w:val="22"/>
          <w:lang w:eastAsia="en-AU"/>
        </w:rPr>
      </w:pPr>
      <w:hyperlink w:anchor="_Toc140067664" w:history="1">
        <w:r w:rsidR="00321CB2" w:rsidRPr="004E0794">
          <w:rPr>
            <w:rStyle w:val="Hyperlink"/>
            <w:noProof/>
          </w:rPr>
          <w:t>2</w:t>
        </w:r>
        <w:r w:rsidR="00321CB2">
          <w:rPr>
            <w:rFonts w:asciiTheme="minorHAnsi" w:eastAsiaTheme="minorEastAsia" w:hAnsiTheme="minorHAnsi" w:cstheme="minorBidi"/>
            <w:noProof/>
            <w:sz w:val="22"/>
            <w:szCs w:val="22"/>
            <w:lang w:eastAsia="en-AU"/>
          </w:rPr>
          <w:tab/>
        </w:r>
        <w:r w:rsidR="00321CB2" w:rsidRPr="004E0794">
          <w:rPr>
            <w:rStyle w:val="Hyperlink"/>
            <w:noProof/>
          </w:rPr>
          <w:t>Policy</w:t>
        </w:r>
        <w:r w:rsidR="00321CB2">
          <w:rPr>
            <w:noProof/>
            <w:webHidden/>
          </w:rPr>
          <w:tab/>
        </w:r>
        <w:r w:rsidR="00321CB2">
          <w:rPr>
            <w:noProof/>
            <w:webHidden/>
          </w:rPr>
          <w:fldChar w:fldCharType="begin"/>
        </w:r>
        <w:r w:rsidR="00321CB2">
          <w:rPr>
            <w:noProof/>
            <w:webHidden/>
          </w:rPr>
          <w:instrText xml:space="preserve"> PAGEREF _Toc140067664 \h </w:instrText>
        </w:r>
        <w:r w:rsidR="00321CB2">
          <w:rPr>
            <w:noProof/>
            <w:webHidden/>
          </w:rPr>
        </w:r>
        <w:r w:rsidR="00321CB2">
          <w:rPr>
            <w:noProof/>
            <w:webHidden/>
          </w:rPr>
          <w:fldChar w:fldCharType="separate"/>
        </w:r>
        <w:r w:rsidR="00321CB2">
          <w:rPr>
            <w:noProof/>
            <w:webHidden/>
          </w:rPr>
          <w:t>3</w:t>
        </w:r>
        <w:r w:rsidR="00321CB2">
          <w:rPr>
            <w:noProof/>
            <w:webHidden/>
          </w:rPr>
          <w:fldChar w:fldCharType="end"/>
        </w:r>
      </w:hyperlink>
    </w:p>
    <w:p w14:paraId="56018ED9" w14:textId="05FD8FF3" w:rsidR="00321CB2" w:rsidRDefault="001A0C6D" w:rsidP="00321CB2">
      <w:pPr>
        <w:pStyle w:val="TOC1"/>
        <w:rPr>
          <w:rFonts w:asciiTheme="minorHAnsi" w:eastAsiaTheme="minorEastAsia" w:hAnsiTheme="minorHAnsi" w:cstheme="minorBidi"/>
          <w:noProof/>
          <w:sz w:val="22"/>
          <w:szCs w:val="22"/>
          <w:lang w:eastAsia="en-AU"/>
        </w:rPr>
      </w:pPr>
      <w:hyperlink w:anchor="_Toc140067665" w:history="1">
        <w:r w:rsidR="00321CB2" w:rsidRPr="004E0794">
          <w:rPr>
            <w:rStyle w:val="Hyperlink"/>
            <w:noProof/>
          </w:rPr>
          <w:t>3</w:t>
        </w:r>
        <w:r w:rsidR="00321CB2">
          <w:rPr>
            <w:rFonts w:asciiTheme="minorHAnsi" w:eastAsiaTheme="minorEastAsia" w:hAnsiTheme="minorHAnsi" w:cstheme="minorBidi"/>
            <w:noProof/>
            <w:sz w:val="22"/>
            <w:szCs w:val="22"/>
            <w:lang w:eastAsia="en-AU"/>
          </w:rPr>
          <w:tab/>
        </w:r>
        <w:r w:rsidR="00321CB2" w:rsidRPr="004E0794">
          <w:rPr>
            <w:rStyle w:val="Hyperlink"/>
            <w:noProof/>
          </w:rPr>
          <w:t>Standard Requirements</w:t>
        </w:r>
        <w:r w:rsidR="00321CB2">
          <w:rPr>
            <w:noProof/>
            <w:webHidden/>
          </w:rPr>
          <w:tab/>
        </w:r>
        <w:r w:rsidR="00321CB2">
          <w:rPr>
            <w:noProof/>
            <w:webHidden/>
          </w:rPr>
          <w:fldChar w:fldCharType="begin"/>
        </w:r>
        <w:r w:rsidR="00321CB2">
          <w:rPr>
            <w:noProof/>
            <w:webHidden/>
          </w:rPr>
          <w:instrText xml:space="preserve"> PAGEREF _Toc140067665 \h </w:instrText>
        </w:r>
        <w:r w:rsidR="00321CB2">
          <w:rPr>
            <w:noProof/>
            <w:webHidden/>
          </w:rPr>
        </w:r>
        <w:r w:rsidR="00321CB2">
          <w:rPr>
            <w:noProof/>
            <w:webHidden/>
          </w:rPr>
          <w:fldChar w:fldCharType="separate"/>
        </w:r>
        <w:r w:rsidR="00321CB2">
          <w:rPr>
            <w:noProof/>
            <w:webHidden/>
          </w:rPr>
          <w:t>4</w:t>
        </w:r>
        <w:r w:rsidR="00321CB2">
          <w:rPr>
            <w:noProof/>
            <w:webHidden/>
          </w:rPr>
          <w:fldChar w:fldCharType="end"/>
        </w:r>
      </w:hyperlink>
    </w:p>
    <w:p w14:paraId="14D1EFF4" w14:textId="75175630" w:rsidR="00321CB2" w:rsidRDefault="001A0C6D" w:rsidP="00321CB2">
      <w:pPr>
        <w:pStyle w:val="TOC1"/>
        <w:rPr>
          <w:rFonts w:asciiTheme="minorHAnsi" w:eastAsiaTheme="minorEastAsia" w:hAnsiTheme="minorHAnsi" w:cstheme="minorBidi"/>
          <w:noProof/>
          <w:sz w:val="22"/>
          <w:szCs w:val="22"/>
          <w:lang w:eastAsia="en-AU"/>
        </w:rPr>
      </w:pPr>
      <w:hyperlink w:anchor="_Toc140067666" w:history="1">
        <w:r w:rsidR="00321CB2" w:rsidRPr="004E0794">
          <w:rPr>
            <w:rStyle w:val="Hyperlink"/>
            <w:noProof/>
            <w:lang w:eastAsia="en-AU"/>
          </w:rPr>
          <w:t>4</w:t>
        </w:r>
        <w:r w:rsidR="00321CB2">
          <w:rPr>
            <w:rFonts w:asciiTheme="minorHAnsi" w:eastAsiaTheme="minorEastAsia" w:hAnsiTheme="minorHAnsi" w:cstheme="minorBidi"/>
            <w:noProof/>
            <w:sz w:val="22"/>
            <w:szCs w:val="22"/>
            <w:lang w:eastAsia="en-AU"/>
          </w:rPr>
          <w:tab/>
        </w:r>
        <w:r w:rsidR="00321CB2" w:rsidRPr="004E0794">
          <w:rPr>
            <w:rStyle w:val="Hyperlink"/>
            <w:noProof/>
            <w:lang w:eastAsia="en-AU"/>
          </w:rPr>
          <w:t>Temporary Prisoner Placement</w:t>
        </w:r>
        <w:r w:rsidR="00321CB2">
          <w:rPr>
            <w:noProof/>
            <w:webHidden/>
          </w:rPr>
          <w:tab/>
        </w:r>
        <w:r w:rsidR="00321CB2">
          <w:rPr>
            <w:noProof/>
            <w:webHidden/>
          </w:rPr>
          <w:fldChar w:fldCharType="begin"/>
        </w:r>
        <w:r w:rsidR="00321CB2">
          <w:rPr>
            <w:noProof/>
            <w:webHidden/>
          </w:rPr>
          <w:instrText xml:space="preserve"> PAGEREF _Toc140067666 \h </w:instrText>
        </w:r>
        <w:r w:rsidR="00321CB2">
          <w:rPr>
            <w:noProof/>
            <w:webHidden/>
          </w:rPr>
        </w:r>
        <w:r w:rsidR="00321CB2">
          <w:rPr>
            <w:noProof/>
            <w:webHidden/>
          </w:rPr>
          <w:fldChar w:fldCharType="separate"/>
        </w:r>
        <w:r w:rsidR="00321CB2">
          <w:rPr>
            <w:noProof/>
            <w:webHidden/>
          </w:rPr>
          <w:t>4</w:t>
        </w:r>
        <w:r w:rsidR="00321CB2">
          <w:rPr>
            <w:noProof/>
            <w:webHidden/>
          </w:rPr>
          <w:fldChar w:fldCharType="end"/>
        </w:r>
      </w:hyperlink>
    </w:p>
    <w:p w14:paraId="54EF244E" w14:textId="3E6D3700" w:rsidR="00321CB2" w:rsidRDefault="001A0C6D" w:rsidP="00321CB2">
      <w:pPr>
        <w:pStyle w:val="TOC1"/>
        <w:rPr>
          <w:rFonts w:asciiTheme="minorHAnsi" w:eastAsiaTheme="minorEastAsia" w:hAnsiTheme="minorHAnsi" w:cstheme="minorBidi"/>
          <w:noProof/>
          <w:sz w:val="22"/>
          <w:szCs w:val="22"/>
          <w:lang w:eastAsia="en-AU"/>
        </w:rPr>
      </w:pPr>
      <w:hyperlink w:anchor="_Toc140067667" w:history="1">
        <w:r w:rsidR="00321CB2" w:rsidRPr="004E0794">
          <w:rPr>
            <w:rStyle w:val="Hyperlink"/>
            <w:noProof/>
          </w:rPr>
          <w:t>5</w:t>
        </w:r>
        <w:r w:rsidR="00321CB2">
          <w:rPr>
            <w:rFonts w:asciiTheme="minorHAnsi" w:eastAsiaTheme="minorEastAsia" w:hAnsiTheme="minorHAnsi" w:cstheme="minorBidi"/>
            <w:noProof/>
            <w:sz w:val="22"/>
            <w:szCs w:val="22"/>
            <w:lang w:eastAsia="en-AU"/>
          </w:rPr>
          <w:tab/>
        </w:r>
        <w:r w:rsidR="00321CB2" w:rsidRPr="004E0794">
          <w:rPr>
            <w:rStyle w:val="Hyperlink"/>
            <w:noProof/>
          </w:rPr>
          <w:t>Lockup Requests/Placement</w:t>
        </w:r>
        <w:r w:rsidR="00321CB2">
          <w:rPr>
            <w:noProof/>
            <w:webHidden/>
          </w:rPr>
          <w:tab/>
        </w:r>
        <w:r w:rsidR="00321CB2">
          <w:rPr>
            <w:noProof/>
            <w:webHidden/>
          </w:rPr>
          <w:fldChar w:fldCharType="begin"/>
        </w:r>
        <w:r w:rsidR="00321CB2">
          <w:rPr>
            <w:noProof/>
            <w:webHidden/>
          </w:rPr>
          <w:instrText xml:space="preserve"> PAGEREF _Toc140067667 \h </w:instrText>
        </w:r>
        <w:r w:rsidR="00321CB2">
          <w:rPr>
            <w:noProof/>
            <w:webHidden/>
          </w:rPr>
        </w:r>
        <w:r w:rsidR="00321CB2">
          <w:rPr>
            <w:noProof/>
            <w:webHidden/>
          </w:rPr>
          <w:fldChar w:fldCharType="separate"/>
        </w:r>
        <w:r w:rsidR="00321CB2">
          <w:rPr>
            <w:noProof/>
            <w:webHidden/>
          </w:rPr>
          <w:t>5</w:t>
        </w:r>
        <w:r w:rsidR="00321CB2">
          <w:rPr>
            <w:noProof/>
            <w:webHidden/>
          </w:rPr>
          <w:fldChar w:fldCharType="end"/>
        </w:r>
      </w:hyperlink>
    </w:p>
    <w:p w14:paraId="755094CE" w14:textId="285D8C25" w:rsidR="00321CB2" w:rsidRDefault="001A0C6D">
      <w:pPr>
        <w:pStyle w:val="TOC2"/>
        <w:rPr>
          <w:rFonts w:asciiTheme="minorHAnsi" w:eastAsiaTheme="minorEastAsia" w:hAnsiTheme="minorHAnsi" w:cstheme="minorBidi"/>
          <w:noProof/>
          <w:sz w:val="22"/>
          <w:szCs w:val="22"/>
          <w:lang w:eastAsia="en-AU"/>
        </w:rPr>
      </w:pPr>
      <w:hyperlink w:anchor="_Toc140067668" w:history="1">
        <w:r w:rsidR="00321CB2" w:rsidRPr="004E0794">
          <w:rPr>
            <w:rStyle w:val="Hyperlink"/>
            <w:noProof/>
          </w:rPr>
          <w:t>5.1</w:t>
        </w:r>
        <w:r w:rsidR="00321CB2">
          <w:rPr>
            <w:rFonts w:asciiTheme="minorHAnsi" w:eastAsiaTheme="minorEastAsia" w:hAnsiTheme="minorHAnsi" w:cstheme="minorBidi"/>
            <w:noProof/>
            <w:sz w:val="22"/>
            <w:szCs w:val="22"/>
            <w:lang w:eastAsia="en-AU"/>
          </w:rPr>
          <w:tab/>
        </w:r>
        <w:r w:rsidR="00321CB2" w:rsidRPr="004E0794">
          <w:rPr>
            <w:rStyle w:val="Hyperlink"/>
            <w:noProof/>
          </w:rPr>
          <w:t>Prisoner placement</w:t>
        </w:r>
        <w:r w:rsidR="00321CB2">
          <w:rPr>
            <w:noProof/>
            <w:webHidden/>
          </w:rPr>
          <w:tab/>
        </w:r>
        <w:r w:rsidR="00321CB2">
          <w:rPr>
            <w:noProof/>
            <w:webHidden/>
          </w:rPr>
          <w:fldChar w:fldCharType="begin"/>
        </w:r>
        <w:r w:rsidR="00321CB2">
          <w:rPr>
            <w:noProof/>
            <w:webHidden/>
          </w:rPr>
          <w:instrText xml:space="preserve"> PAGEREF _Toc140067668 \h </w:instrText>
        </w:r>
        <w:r w:rsidR="00321CB2">
          <w:rPr>
            <w:noProof/>
            <w:webHidden/>
          </w:rPr>
        </w:r>
        <w:r w:rsidR="00321CB2">
          <w:rPr>
            <w:noProof/>
            <w:webHidden/>
          </w:rPr>
          <w:fldChar w:fldCharType="separate"/>
        </w:r>
        <w:r w:rsidR="00321CB2">
          <w:rPr>
            <w:noProof/>
            <w:webHidden/>
          </w:rPr>
          <w:t>5</w:t>
        </w:r>
        <w:r w:rsidR="00321CB2">
          <w:rPr>
            <w:noProof/>
            <w:webHidden/>
          </w:rPr>
          <w:fldChar w:fldCharType="end"/>
        </w:r>
      </w:hyperlink>
    </w:p>
    <w:p w14:paraId="2F69A630" w14:textId="50FC47F6" w:rsidR="00321CB2" w:rsidRDefault="001A0C6D">
      <w:pPr>
        <w:pStyle w:val="TOC2"/>
        <w:rPr>
          <w:rFonts w:asciiTheme="minorHAnsi" w:eastAsiaTheme="minorEastAsia" w:hAnsiTheme="minorHAnsi" w:cstheme="minorBidi"/>
          <w:noProof/>
          <w:sz w:val="22"/>
          <w:szCs w:val="22"/>
          <w:lang w:eastAsia="en-AU"/>
        </w:rPr>
      </w:pPr>
      <w:hyperlink w:anchor="_Toc140067669" w:history="1">
        <w:r w:rsidR="00321CB2" w:rsidRPr="004E0794">
          <w:rPr>
            <w:rStyle w:val="Hyperlink"/>
            <w:noProof/>
          </w:rPr>
          <w:t>5.2</w:t>
        </w:r>
        <w:r w:rsidR="00321CB2">
          <w:rPr>
            <w:rFonts w:asciiTheme="minorHAnsi" w:eastAsiaTheme="minorEastAsia" w:hAnsiTheme="minorHAnsi" w:cstheme="minorBidi"/>
            <w:noProof/>
            <w:sz w:val="22"/>
            <w:szCs w:val="22"/>
            <w:lang w:eastAsia="en-AU"/>
          </w:rPr>
          <w:tab/>
        </w:r>
        <w:r w:rsidR="00321CB2" w:rsidRPr="004E0794">
          <w:rPr>
            <w:rStyle w:val="Hyperlink"/>
            <w:noProof/>
          </w:rPr>
          <w:t>Prisoner or Lockup keeper requests</w:t>
        </w:r>
        <w:r w:rsidR="00321CB2">
          <w:rPr>
            <w:noProof/>
            <w:webHidden/>
          </w:rPr>
          <w:tab/>
        </w:r>
        <w:r w:rsidR="00321CB2">
          <w:rPr>
            <w:noProof/>
            <w:webHidden/>
          </w:rPr>
          <w:fldChar w:fldCharType="begin"/>
        </w:r>
        <w:r w:rsidR="00321CB2">
          <w:rPr>
            <w:noProof/>
            <w:webHidden/>
          </w:rPr>
          <w:instrText xml:space="preserve"> PAGEREF _Toc140067669 \h </w:instrText>
        </w:r>
        <w:r w:rsidR="00321CB2">
          <w:rPr>
            <w:noProof/>
            <w:webHidden/>
          </w:rPr>
        </w:r>
        <w:r w:rsidR="00321CB2">
          <w:rPr>
            <w:noProof/>
            <w:webHidden/>
          </w:rPr>
          <w:fldChar w:fldCharType="separate"/>
        </w:r>
        <w:r w:rsidR="00321CB2">
          <w:rPr>
            <w:noProof/>
            <w:webHidden/>
          </w:rPr>
          <w:t>5</w:t>
        </w:r>
        <w:r w:rsidR="00321CB2">
          <w:rPr>
            <w:noProof/>
            <w:webHidden/>
          </w:rPr>
          <w:fldChar w:fldCharType="end"/>
        </w:r>
      </w:hyperlink>
    </w:p>
    <w:p w14:paraId="031942F4" w14:textId="56C66DE5" w:rsidR="00321CB2" w:rsidRDefault="001A0C6D">
      <w:pPr>
        <w:pStyle w:val="TOC2"/>
        <w:rPr>
          <w:rFonts w:asciiTheme="minorHAnsi" w:eastAsiaTheme="minorEastAsia" w:hAnsiTheme="minorHAnsi" w:cstheme="minorBidi"/>
          <w:noProof/>
          <w:sz w:val="22"/>
          <w:szCs w:val="22"/>
          <w:lang w:eastAsia="en-AU"/>
        </w:rPr>
      </w:pPr>
      <w:hyperlink w:anchor="_Toc140067670" w:history="1">
        <w:r w:rsidR="00321CB2" w:rsidRPr="004E0794">
          <w:rPr>
            <w:rStyle w:val="Hyperlink"/>
            <w:noProof/>
          </w:rPr>
          <w:t>5.3</w:t>
        </w:r>
        <w:r w:rsidR="00321CB2">
          <w:rPr>
            <w:rFonts w:asciiTheme="minorHAnsi" w:eastAsiaTheme="minorEastAsia" w:hAnsiTheme="minorHAnsi" w:cstheme="minorBidi"/>
            <w:noProof/>
            <w:sz w:val="22"/>
            <w:szCs w:val="22"/>
            <w:lang w:eastAsia="en-AU"/>
          </w:rPr>
          <w:tab/>
        </w:r>
        <w:r w:rsidR="00321CB2" w:rsidRPr="004E0794">
          <w:rPr>
            <w:rStyle w:val="Hyperlink"/>
            <w:noProof/>
          </w:rPr>
          <w:t>Lockup placement prior to release or /extenuating circumstances</w:t>
        </w:r>
        <w:r w:rsidR="00321CB2">
          <w:rPr>
            <w:noProof/>
            <w:webHidden/>
          </w:rPr>
          <w:tab/>
        </w:r>
        <w:r w:rsidR="00321CB2">
          <w:rPr>
            <w:noProof/>
            <w:webHidden/>
          </w:rPr>
          <w:fldChar w:fldCharType="begin"/>
        </w:r>
        <w:r w:rsidR="00321CB2">
          <w:rPr>
            <w:noProof/>
            <w:webHidden/>
          </w:rPr>
          <w:instrText xml:space="preserve"> PAGEREF _Toc140067670 \h </w:instrText>
        </w:r>
        <w:r w:rsidR="00321CB2">
          <w:rPr>
            <w:noProof/>
            <w:webHidden/>
          </w:rPr>
        </w:r>
        <w:r w:rsidR="00321CB2">
          <w:rPr>
            <w:noProof/>
            <w:webHidden/>
          </w:rPr>
          <w:fldChar w:fldCharType="separate"/>
        </w:r>
        <w:r w:rsidR="00321CB2">
          <w:rPr>
            <w:noProof/>
            <w:webHidden/>
          </w:rPr>
          <w:t>6</w:t>
        </w:r>
        <w:r w:rsidR="00321CB2">
          <w:rPr>
            <w:noProof/>
            <w:webHidden/>
          </w:rPr>
          <w:fldChar w:fldCharType="end"/>
        </w:r>
      </w:hyperlink>
    </w:p>
    <w:p w14:paraId="7B2A3100" w14:textId="501C5826" w:rsidR="00321CB2" w:rsidRDefault="001A0C6D">
      <w:pPr>
        <w:pStyle w:val="TOC2"/>
        <w:rPr>
          <w:rFonts w:asciiTheme="minorHAnsi" w:eastAsiaTheme="minorEastAsia" w:hAnsiTheme="minorHAnsi" w:cstheme="minorBidi"/>
          <w:noProof/>
          <w:sz w:val="22"/>
          <w:szCs w:val="22"/>
          <w:lang w:eastAsia="en-AU"/>
        </w:rPr>
      </w:pPr>
      <w:hyperlink w:anchor="_Toc140067671" w:history="1">
        <w:r w:rsidR="00321CB2" w:rsidRPr="004E0794">
          <w:rPr>
            <w:rStyle w:val="Hyperlink"/>
            <w:noProof/>
          </w:rPr>
          <w:t>5.4</w:t>
        </w:r>
        <w:r w:rsidR="00321CB2">
          <w:rPr>
            <w:rFonts w:asciiTheme="minorHAnsi" w:eastAsiaTheme="minorEastAsia" w:hAnsiTheme="minorHAnsi" w:cstheme="minorBidi"/>
            <w:noProof/>
            <w:sz w:val="22"/>
            <w:szCs w:val="22"/>
            <w:lang w:eastAsia="en-AU"/>
          </w:rPr>
          <w:tab/>
        </w:r>
        <w:r w:rsidR="00321CB2" w:rsidRPr="004E0794">
          <w:rPr>
            <w:rStyle w:val="Hyperlink"/>
            <w:noProof/>
          </w:rPr>
          <w:t>Inspection of lockups</w:t>
        </w:r>
        <w:r w:rsidR="00321CB2">
          <w:rPr>
            <w:noProof/>
            <w:webHidden/>
          </w:rPr>
          <w:tab/>
        </w:r>
        <w:r w:rsidR="00321CB2">
          <w:rPr>
            <w:noProof/>
            <w:webHidden/>
          </w:rPr>
          <w:fldChar w:fldCharType="begin"/>
        </w:r>
        <w:r w:rsidR="00321CB2">
          <w:rPr>
            <w:noProof/>
            <w:webHidden/>
          </w:rPr>
          <w:instrText xml:space="preserve"> PAGEREF _Toc140067671 \h </w:instrText>
        </w:r>
        <w:r w:rsidR="00321CB2">
          <w:rPr>
            <w:noProof/>
            <w:webHidden/>
          </w:rPr>
        </w:r>
        <w:r w:rsidR="00321CB2">
          <w:rPr>
            <w:noProof/>
            <w:webHidden/>
          </w:rPr>
          <w:fldChar w:fldCharType="separate"/>
        </w:r>
        <w:r w:rsidR="00321CB2">
          <w:rPr>
            <w:noProof/>
            <w:webHidden/>
          </w:rPr>
          <w:t>6</w:t>
        </w:r>
        <w:r w:rsidR="00321CB2">
          <w:rPr>
            <w:noProof/>
            <w:webHidden/>
          </w:rPr>
          <w:fldChar w:fldCharType="end"/>
        </w:r>
      </w:hyperlink>
    </w:p>
    <w:p w14:paraId="1CA6CD35" w14:textId="28D2A970" w:rsidR="00321CB2" w:rsidRDefault="001A0C6D" w:rsidP="00321CB2">
      <w:pPr>
        <w:pStyle w:val="TOC1"/>
        <w:rPr>
          <w:rFonts w:asciiTheme="minorHAnsi" w:eastAsiaTheme="minorEastAsia" w:hAnsiTheme="minorHAnsi" w:cstheme="minorBidi"/>
          <w:noProof/>
          <w:sz w:val="22"/>
          <w:szCs w:val="22"/>
          <w:lang w:eastAsia="en-AU"/>
        </w:rPr>
      </w:pPr>
      <w:hyperlink w:anchor="_Toc140067672" w:history="1">
        <w:r w:rsidR="00321CB2" w:rsidRPr="004E0794">
          <w:rPr>
            <w:rStyle w:val="Hyperlink"/>
            <w:noProof/>
          </w:rPr>
          <w:t>6</w:t>
        </w:r>
        <w:r w:rsidR="00321CB2">
          <w:rPr>
            <w:rFonts w:asciiTheme="minorHAnsi" w:eastAsiaTheme="minorEastAsia" w:hAnsiTheme="minorHAnsi" w:cstheme="minorBidi"/>
            <w:noProof/>
            <w:sz w:val="22"/>
            <w:szCs w:val="22"/>
            <w:lang w:eastAsia="en-AU"/>
          </w:rPr>
          <w:tab/>
        </w:r>
        <w:r w:rsidR="00321CB2" w:rsidRPr="004E0794">
          <w:rPr>
            <w:rStyle w:val="Hyperlink"/>
            <w:noProof/>
          </w:rPr>
          <w:t>Annexures</w:t>
        </w:r>
        <w:r w:rsidR="00321CB2">
          <w:rPr>
            <w:noProof/>
            <w:webHidden/>
          </w:rPr>
          <w:tab/>
        </w:r>
        <w:r w:rsidR="00321CB2">
          <w:rPr>
            <w:noProof/>
            <w:webHidden/>
          </w:rPr>
          <w:fldChar w:fldCharType="begin"/>
        </w:r>
        <w:r w:rsidR="00321CB2">
          <w:rPr>
            <w:noProof/>
            <w:webHidden/>
          </w:rPr>
          <w:instrText xml:space="preserve"> PAGEREF _Toc140067672 \h </w:instrText>
        </w:r>
        <w:r w:rsidR="00321CB2">
          <w:rPr>
            <w:noProof/>
            <w:webHidden/>
          </w:rPr>
        </w:r>
        <w:r w:rsidR="00321CB2">
          <w:rPr>
            <w:noProof/>
            <w:webHidden/>
          </w:rPr>
          <w:fldChar w:fldCharType="separate"/>
        </w:r>
        <w:r w:rsidR="00321CB2">
          <w:rPr>
            <w:noProof/>
            <w:webHidden/>
          </w:rPr>
          <w:t>8</w:t>
        </w:r>
        <w:r w:rsidR="00321CB2">
          <w:rPr>
            <w:noProof/>
            <w:webHidden/>
          </w:rPr>
          <w:fldChar w:fldCharType="end"/>
        </w:r>
      </w:hyperlink>
    </w:p>
    <w:p w14:paraId="461B2C91" w14:textId="60FE8799" w:rsidR="00321CB2" w:rsidRDefault="001A0C6D">
      <w:pPr>
        <w:pStyle w:val="TOC2"/>
        <w:rPr>
          <w:rFonts w:asciiTheme="minorHAnsi" w:eastAsiaTheme="minorEastAsia" w:hAnsiTheme="minorHAnsi" w:cstheme="minorBidi"/>
          <w:noProof/>
          <w:sz w:val="22"/>
          <w:szCs w:val="22"/>
          <w:lang w:eastAsia="en-AU"/>
        </w:rPr>
      </w:pPr>
      <w:hyperlink w:anchor="_Toc140067673" w:history="1">
        <w:r w:rsidR="00321CB2" w:rsidRPr="004E0794">
          <w:rPr>
            <w:rStyle w:val="Hyperlink"/>
            <w:noProof/>
          </w:rPr>
          <w:t>6.1</w:t>
        </w:r>
        <w:r w:rsidR="00321CB2">
          <w:rPr>
            <w:rFonts w:asciiTheme="minorHAnsi" w:eastAsiaTheme="minorEastAsia" w:hAnsiTheme="minorHAnsi" w:cstheme="minorBidi"/>
            <w:noProof/>
            <w:sz w:val="22"/>
            <w:szCs w:val="22"/>
            <w:lang w:eastAsia="en-AU"/>
          </w:rPr>
          <w:tab/>
        </w:r>
        <w:r w:rsidR="00321CB2" w:rsidRPr="004E0794">
          <w:rPr>
            <w:rStyle w:val="Hyperlink"/>
            <w:noProof/>
          </w:rPr>
          <w:t>Related COPPs and other documents</w:t>
        </w:r>
        <w:r w:rsidR="00321CB2">
          <w:rPr>
            <w:noProof/>
            <w:webHidden/>
          </w:rPr>
          <w:tab/>
        </w:r>
        <w:r w:rsidR="00321CB2">
          <w:rPr>
            <w:noProof/>
            <w:webHidden/>
          </w:rPr>
          <w:fldChar w:fldCharType="begin"/>
        </w:r>
        <w:r w:rsidR="00321CB2">
          <w:rPr>
            <w:noProof/>
            <w:webHidden/>
          </w:rPr>
          <w:instrText xml:space="preserve"> PAGEREF _Toc140067673 \h </w:instrText>
        </w:r>
        <w:r w:rsidR="00321CB2">
          <w:rPr>
            <w:noProof/>
            <w:webHidden/>
          </w:rPr>
        </w:r>
        <w:r w:rsidR="00321CB2">
          <w:rPr>
            <w:noProof/>
            <w:webHidden/>
          </w:rPr>
          <w:fldChar w:fldCharType="separate"/>
        </w:r>
        <w:r w:rsidR="00321CB2">
          <w:rPr>
            <w:noProof/>
            <w:webHidden/>
          </w:rPr>
          <w:t>8</w:t>
        </w:r>
        <w:r w:rsidR="00321CB2">
          <w:rPr>
            <w:noProof/>
            <w:webHidden/>
          </w:rPr>
          <w:fldChar w:fldCharType="end"/>
        </w:r>
      </w:hyperlink>
    </w:p>
    <w:p w14:paraId="1B898700" w14:textId="6CFF27A9" w:rsidR="00321CB2" w:rsidRDefault="001A0C6D">
      <w:pPr>
        <w:pStyle w:val="TOC2"/>
        <w:rPr>
          <w:rFonts w:asciiTheme="minorHAnsi" w:eastAsiaTheme="minorEastAsia" w:hAnsiTheme="minorHAnsi" w:cstheme="minorBidi"/>
          <w:noProof/>
          <w:sz w:val="22"/>
          <w:szCs w:val="22"/>
          <w:lang w:eastAsia="en-AU"/>
        </w:rPr>
      </w:pPr>
      <w:hyperlink w:anchor="_Toc140067674" w:history="1">
        <w:r w:rsidR="00321CB2" w:rsidRPr="004E0794">
          <w:rPr>
            <w:rStyle w:val="Hyperlink"/>
            <w:noProof/>
          </w:rPr>
          <w:t>6.2</w:t>
        </w:r>
        <w:r w:rsidR="00321CB2">
          <w:rPr>
            <w:rFonts w:asciiTheme="minorHAnsi" w:eastAsiaTheme="minorEastAsia" w:hAnsiTheme="minorHAnsi" w:cstheme="minorBidi"/>
            <w:noProof/>
            <w:sz w:val="22"/>
            <w:szCs w:val="22"/>
            <w:lang w:eastAsia="en-AU"/>
          </w:rPr>
          <w:tab/>
        </w:r>
        <w:r w:rsidR="00321CB2" w:rsidRPr="004E0794">
          <w:rPr>
            <w:rStyle w:val="Hyperlink"/>
            <w:noProof/>
          </w:rPr>
          <w:t>Definitions and acronyms</w:t>
        </w:r>
        <w:r w:rsidR="00321CB2">
          <w:rPr>
            <w:noProof/>
            <w:webHidden/>
          </w:rPr>
          <w:tab/>
        </w:r>
        <w:r w:rsidR="00321CB2">
          <w:rPr>
            <w:noProof/>
            <w:webHidden/>
          </w:rPr>
          <w:fldChar w:fldCharType="begin"/>
        </w:r>
        <w:r w:rsidR="00321CB2">
          <w:rPr>
            <w:noProof/>
            <w:webHidden/>
          </w:rPr>
          <w:instrText xml:space="preserve"> PAGEREF _Toc140067674 \h </w:instrText>
        </w:r>
        <w:r w:rsidR="00321CB2">
          <w:rPr>
            <w:noProof/>
            <w:webHidden/>
          </w:rPr>
        </w:r>
        <w:r w:rsidR="00321CB2">
          <w:rPr>
            <w:noProof/>
            <w:webHidden/>
          </w:rPr>
          <w:fldChar w:fldCharType="separate"/>
        </w:r>
        <w:r w:rsidR="00321CB2">
          <w:rPr>
            <w:noProof/>
            <w:webHidden/>
          </w:rPr>
          <w:t>8</w:t>
        </w:r>
        <w:r w:rsidR="00321CB2">
          <w:rPr>
            <w:noProof/>
            <w:webHidden/>
          </w:rPr>
          <w:fldChar w:fldCharType="end"/>
        </w:r>
      </w:hyperlink>
    </w:p>
    <w:p w14:paraId="060CDA0E" w14:textId="7FC1FDB9" w:rsidR="00321CB2" w:rsidRDefault="001A0C6D">
      <w:pPr>
        <w:pStyle w:val="TOC2"/>
        <w:rPr>
          <w:rFonts w:asciiTheme="minorHAnsi" w:eastAsiaTheme="minorEastAsia" w:hAnsiTheme="minorHAnsi" w:cstheme="minorBidi"/>
          <w:noProof/>
          <w:sz w:val="22"/>
          <w:szCs w:val="22"/>
          <w:lang w:eastAsia="en-AU"/>
        </w:rPr>
      </w:pPr>
      <w:hyperlink w:anchor="_Toc140067675" w:history="1">
        <w:r w:rsidR="00321CB2" w:rsidRPr="004E0794">
          <w:rPr>
            <w:rStyle w:val="Hyperlink"/>
            <w:noProof/>
          </w:rPr>
          <w:t>6.3</w:t>
        </w:r>
        <w:r w:rsidR="00321CB2">
          <w:rPr>
            <w:rFonts w:asciiTheme="minorHAnsi" w:eastAsiaTheme="minorEastAsia" w:hAnsiTheme="minorHAnsi" w:cstheme="minorBidi"/>
            <w:noProof/>
            <w:sz w:val="22"/>
            <w:szCs w:val="22"/>
            <w:lang w:eastAsia="en-AU"/>
          </w:rPr>
          <w:tab/>
        </w:r>
        <w:r w:rsidR="00321CB2" w:rsidRPr="004E0794">
          <w:rPr>
            <w:rStyle w:val="Hyperlink"/>
            <w:noProof/>
          </w:rPr>
          <w:t>Related legislation</w:t>
        </w:r>
        <w:r w:rsidR="00321CB2">
          <w:rPr>
            <w:noProof/>
            <w:webHidden/>
          </w:rPr>
          <w:tab/>
        </w:r>
        <w:r w:rsidR="00321CB2">
          <w:rPr>
            <w:noProof/>
            <w:webHidden/>
          </w:rPr>
          <w:fldChar w:fldCharType="begin"/>
        </w:r>
        <w:r w:rsidR="00321CB2">
          <w:rPr>
            <w:noProof/>
            <w:webHidden/>
          </w:rPr>
          <w:instrText xml:space="preserve"> PAGEREF _Toc140067675 \h </w:instrText>
        </w:r>
        <w:r w:rsidR="00321CB2">
          <w:rPr>
            <w:noProof/>
            <w:webHidden/>
          </w:rPr>
        </w:r>
        <w:r w:rsidR="00321CB2">
          <w:rPr>
            <w:noProof/>
            <w:webHidden/>
          </w:rPr>
          <w:fldChar w:fldCharType="separate"/>
        </w:r>
        <w:r w:rsidR="00321CB2">
          <w:rPr>
            <w:noProof/>
            <w:webHidden/>
          </w:rPr>
          <w:t>9</w:t>
        </w:r>
        <w:r w:rsidR="00321CB2">
          <w:rPr>
            <w:noProof/>
            <w:webHidden/>
          </w:rPr>
          <w:fldChar w:fldCharType="end"/>
        </w:r>
      </w:hyperlink>
    </w:p>
    <w:p w14:paraId="3615F067" w14:textId="287FB330" w:rsidR="00321CB2" w:rsidRDefault="001A0C6D" w:rsidP="00321CB2">
      <w:pPr>
        <w:pStyle w:val="TOC1"/>
        <w:rPr>
          <w:rFonts w:asciiTheme="minorHAnsi" w:eastAsiaTheme="minorEastAsia" w:hAnsiTheme="minorHAnsi" w:cstheme="minorBidi"/>
          <w:noProof/>
          <w:sz w:val="22"/>
          <w:szCs w:val="22"/>
          <w:lang w:eastAsia="en-AU"/>
        </w:rPr>
      </w:pPr>
      <w:hyperlink w:anchor="_Toc140067676" w:history="1">
        <w:r w:rsidR="00321CB2" w:rsidRPr="004E0794">
          <w:rPr>
            <w:rStyle w:val="Hyperlink"/>
            <w:noProof/>
          </w:rPr>
          <w:t>7</w:t>
        </w:r>
        <w:r w:rsidR="00321CB2">
          <w:rPr>
            <w:rFonts w:asciiTheme="minorHAnsi" w:eastAsiaTheme="minorEastAsia" w:hAnsiTheme="minorHAnsi" w:cstheme="minorBidi"/>
            <w:noProof/>
            <w:sz w:val="22"/>
            <w:szCs w:val="22"/>
            <w:lang w:eastAsia="en-AU"/>
          </w:rPr>
          <w:tab/>
        </w:r>
        <w:r w:rsidR="00321CB2" w:rsidRPr="004E0794">
          <w:rPr>
            <w:rStyle w:val="Hyperlink"/>
            <w:noProof/>
          </w:rPr>
          <w:t>Assurance</w:t>
        </w:r>
        <w:r w:rsidR="00321CB2">
          <w:rPr>
            <w:noProof/>
            <w:webHidden/>
          </w:rPr>
          <w:tab/>
        </w:r>
        <w:r w:rsidR="00321CB2">
          <w:rPr>
            <w:noProof/>
            <w:webHidden/>
          </w:rPr>
          <w:fldChar w:fldCharType="begin"/>
        </w:r>
        <w:r w:rsidR="00321CB2">
          <w:rPr>
            <w:noProof/>
            <w:webHidden/>
          </w:rPr>
          <w:instrText xml:space="preserve"> PAGEREF _Toc140067676 \h </w:instrText>
        </w:r>
        <w:r w:rsidR="00321CB2">
          <w:rPr>
            <w:noProof/>
            <w:webHidden/>
          </w:rPr>
        </w:r>
        <w:r w:rsidR="00321CB2">
          <w:rPr>
            <w:noProof/>
            <w:webHidden/>
          </w:rPr>
          <w:fldChar w:fldCharType="separate"/>
        </w:r>
        <w:r w:rsidR="00321CB2">
          <w:rPr>
            <w:noProof/>
            <w:webHidden/>
          </w:rPr>
          <w:t>9</w:t>
        </w:r>
        <w:r w:rsidR="00321CB2">
          <w:rPr>
            <w:noProof/>
            <w:webHidden/>
          </w:rPr>
          <w:fldChar w:fldCharType="end"/>
        </w:r>
      </w:hyperlink>
    </w:p>
    <w:p w14:paraId="02B4646E" w14:textId="3A5F79E8" w:rsidR="00321CB2" w:rsidRDefault="001A0C6D" w:rsidP="00321CB2">
      <w:pPr>
        <w:pStyle w:val="TOC1"/>
        <w:rPr>
          <w:rFonts w:asciiTheme="minorHAnsi" w:eastAsiaTheme="minorEastAsia" w:hAnsiTheme="minorHAnsi" w:cstheme="minorBidi"/>
          <w:noProof/>
          <w:sz w:val="22"/>
          <w:szCs w:val="22"/>
          <w:lang w:eastAsia="en-AU"/>
        </w:rPr>
      </w:pPr>
      <w:hyperlink w:anchor="_Toc140067677" w:history="1">
        <w:r w:rsidR="00321CB2" w:rsidRPr="004E0794">
          <w:rPr>
            <w:rStyle w:val="Hyperlink"/>
            <w:noProof/>
          </w:rPr>
          <w:t>8</w:t>
        </w:r>
        <w:r w:rsidR="00321CB2">
          <w:rPr>
            <w:rFonts w:asciiTheme="minorHAnsi" w:eastAsiaTheme="minorEastAsia" w:hAnsiTheme="minorHAnsi" w:cstheme="minorBidi"/>
            <w:noProof/>
            <w:sz w:val="22"/>
            <w:szCs w:val="22"/>
            <w:lang w:eastAsia="en-AU"/>
          </w:rPr>
          <w:tab/>
        </w:r>
        <w:r w:rsidR="00321CB2" w:rsidRPr="004E0794">
          <w:rPr>
            <w:rStyle w:val="Hyperlink"/>
            <w:noProof/>
          </w:rPr>
          <w:t>Document Version History</w:t>
        </w:r>
        <w:r w:rsidR="00321CB2">
          <w:rPr>
            <w:noProof/>
            <w:webHidden/>
          </w:rPr>
          <w:tab/>
        </w:r>
        <w:r w:rsidR="00321CB2">
          <w:rPr>
            <w:noProof/>
            <w:webHidden/>
          </w:rPr>
          <w:fldChar w:fldCharType="begin"/>
        </w:r>
        <w:r w:rsidR="00321CB2">
          <w:rPr>
            <w:noProof/>
            <w:webHidden/>
          </w:rPr>
          <w:instrText xml:space="preserve"> PAGEREF _Toc140067677 \h </w:instrText>
        </w:r>
        <w:r w:rsidR="00321CB2">
          <w:rPr>
            <w:noProof/>
            <w:webHidden/>
          </w:rPr>
        </w:r>
        <w:r w:rsidR="00321CB2">
          <w:rPr>
            <w:noProof/>
            <w:webHidden/>
          </w:rPr>
          <w:fldChar w:fldCharType="separate"/>
        </w:r>
        <w:r w:rsidR="00321CB2">
          <w:rPr>
            <w:noProof/>
            <w:webHidden/>
          </w:rPr>
          <w:t>9</w:t>
        </w:r>
        <w:r w:rsidR="00321CB2">
          <w:rPr>
            <w:noProof/>
            <w:webHidden/>
          </w:rPr>
          <w:fldChar w:fldCharType="end"/>
        </w:r>
      </w:hyperlink>
    </w:p>
    <w:p w14:paraId="5D7D8E99" w14:textId="38FFC849" w:rsidR="00321CB2" w:rsidRDefault="001A0C6D" w:rsidP="00321CB2">
      <w:pPr>
        <w:pStyle w:val="TOC1"/>
        <w:rPr>
          <w:rFonts w:asciiTheme="minorHAnsi" w:eastAsiaTheme="minorEastAsia" w:hAnsiTheme="minorHAnsi" w:cstheme="minorBidi"/>
          <w:noProof/>
          <w:sz w:val="22"/>
          <w:szCs w:val="22"/>
          <w:lang w:eastAsia="en-AU"/>
        </w:rPr>
      </w:pPr>
      <w:hyperlink w:anchor="_Toc140067678" w:history="1">
        <w:r w:rsidR="00321CB2" w:rsidRPr="004E0794">
          <w:rPr>
            <w:rStyle w:val="Hyperlink"/>
            <w:noProof/>
          </w:rPr>
          <w:t>Appendix A: Schedule of WA Police Force Lockups</w:t>
        </w:r>
        <w:r w:rsidR="00321CB2">
          <w:rPr>
            <w:noProof/>
            <w:webHidden/>
          </w:rPr>
          <w:tab/>
        </w:r>
        <w:r w:rsidR="00321CB2">
          <w:rPr>
            <w:noProof/>
            <w:webHidden/>
          </w:rPr>
          <w:fldChar w:fldCharType="begin"/>
        </w:r>
        <w:r w:rsidR="00321CB2">
          <w:rPr>
            <w:noProof/>
            <w:webHidden/>
          </w:rPr>
          <w:instrText xml:space="preserve"> PAGEREF _Toc140067678 \h </w:instrText>
        </w:r>
        <w:r w:rsidR="00321CB2">
          <w:rPr>
            <w:noProof/>
            <w:webHidden/>
          </w:rPr>
        </w:r>
        <w:r w:rsidR="00321CB2">
          <w:rPr>
            <w:noProof/>
            <w:webHidden/>
          </w:rPr>
          <w:fldChar w:fldCharType="separate"/>
        </w:r>
        <w:r w:rsidR="00321CB2">
          <w:rPr>
            <w:noProof/>
            <w:webHidden/>
          </w:rPr>
          <w:t>10</w:t>
        </w:r>
        <w:r w:rsidR="00321CB2">
          <w:rPr>
            <w:noProof/>
            <w:webHidden/>
          </w:rPr>
          <w:fldChar w:fldCharType="end"/>
        </w:r>
      </w:hyperlink>
    </w:p>
    <w:p w14:paraId="4C77F018" w14:textId="34D47E18" w:rsidR="00634C54" w:rsidRDefault="007E1398" w:rsidP="004E571B">
      <w:r>
        <w:fldChar w:fldCharType="end"/>
      </w:r>
    </w:p>
    <w:p w14:paraId="3042A03C" w14:textId="77777777" w:rsidR="00634C54" w:rsidRDefault="00634C54">
      <w:r>
        <w:br w:type="page"/>
      </w:r>
    </w:p>
    <w:p w14:paraId="0709FDA2" w14:textId="77777777" w:rsidR="00C8272F" w:rsidRDefault="00C8272F" w:rsidP="00A46175">
      <w:pPr>
        <w:pStyle w:val="Heading1"/>
      </w:pPr>
      <w:bookmarkStart w:id="0" w:name="_Toc140067663"/>
      <w:r>
        <w:lastRenderedPageBreak/>
        <w:t>Scope</w:t>
      </w:r>
      <w:bookmarkEnd w:id="0"/>
    </w:p>
    <w:p w14:paraId="2553EF8B" w14:textId="77777777" w:rsidR="00B14BC2" w:rsidRDefault="00B14BC2" w:rsidP="000E684A">
      <w:r w:rsidRPr="0022235E">
        <w:t xml:space="preserve">This Commissioner’s Operating Policy and Procedure (COPP) applies to all </w:t>
      </w:r>
      <w:r w:rsidR="000E684A">
        <w:t xml:space="preserve">public and private </w:t>
      </w:r>
      <w:r w:rsidRPr="0022235E">
        <w:t>prisons administered by or on behal</w:t>
      </w:r>
      <w:r>
        <w:t>f of the Department of Justice</w:t>
      </w:r>
      <w:r w:rsidR="000E684A">
        <w:t xml:space="preserve"> (the Department)</w:t>
      </w:r>
      <w:r>
        <w:t>.</w:t>
      </w:r>
    </w:p>
    <w:p w14:paraId="20196A1C" w14:textId="77777777" w:rsidR="00065A5C" w:rsidRPr="00B14BC2" w:rsidRDefault="00065A5C" w:rsidP="000E684A"/>
    <w:p w14:paraId="0A087A02" w14:textId="77777777" w:rsidR="00EC5AF1" w:rsidRDefault="00EC5AF1" w:rsidP="00A46175">
      <w:pPr>
        <w:pStyle w:val="Heading1"/>
      </w:pPr>
      <w:bookmarkStart w:id="1" w:name="_Toc140067664"/>
      <w:r>
        <w:t>Policy</w:t>
      </w:r>
      <w:bookmarkEnd w:id="1"/>
      <w:r>
        <w:t xml:space="preserve"> </w:t>
      </w:r>
    </w:p>
    <w:p w14:paraId="023D5D4C" w14:textId="77777777" w:rsidR="00B14BC2" w:rsidRDefault="00B14BC2" w:rsidP="000E684A">
      <w:r>
        <w:t>Prisoners are moved between court, prisons and other facilities for a number of reasons, in accordance with legislation</w:t>
      </w:r>
      <w:r w:rsidR="0077632B">
        <w:rPr>
          <w:rStyle w:val="FootnoteReference"/>
        </w:rPr>
        <w:footnoteReference w:id="1"/>
      </w:r>
      <w:r>
        <w:t xml:space="preserve"> and authorisation from the Superintendent under the delegated authority of the </w:t>
      </w:r>
      <w:r w:rsidR="00653434">
        <w:t>Chief Executive Officer (</w:t>
      </w:r>
      <w:r>
        <w:t>CEO</w:t>
      </w:r>
      <w:r w:rsidR="00653434">
        <w:t>)</w:t>
      </w:r>
      <w:r w:rsidR="00F60C9B">
        <w:rPr>
          <w:rStyle w:val="FootnoteReference"/>
        </w:rPr>
        <w:footnoteReference w:id="2"/>
      </w:r>
      <w:r>
        <w:t>.</w:t>
      </w:r>
    </w:p>
    <w:p w14:paraId="0730D36D" w14:textId="77777777" w:rsidR="00B14BC2" w:rsidRDefault="00B14BC2" w:rsidP="000E684A"/>
    <w:p w14:paraId="772BB385" w14:textId="77777777" w:rsidR="00B14BC2" w:rsidRDefault="00B14BC2" w:rsidP="000E684A">
      <w:r>
        <w:t>Prisoners are moved in a safe, humane, efficient and decent manner that meets their individual needs, ensures self-respect and privacy as required, while providing adequate safety and security for both the community, prisons and staff managing prisoners.</w:t>
      </w:r>
    </w:p>
    <w:p w14:paraId="6292EB9E" w14:textId="77777777" w:rsidR="00B14BC2" w:rsidRDefault="00B14BC2" w:rsidP="000E684A"/>
    <w:p w14:paraId="3965F61F" w14:textId="77777777" w:rsidR="006931CF" w:rsidRDefault="006931CF" w:rsidP="000E684A">
      <w:pPr>
        <w:pStyle w:val="Default"/>
      </w:pPr>
      <w:r w:rsidRPr="006931CF">
        <w:t>Prisoners may be detained in lockups operated by the</w:t>
      </w:r>
      <w:r w:rsidR="00086BD7">
        <w:t xml:space="preserve"> W</w:t>
      </w:r>
      <w:r w:rsidR="0017413D">
        <w:t>estern Australian (W</w:t>
      </w:r>
      <w:r w:rsidR="00086BD7">
        <w:t>A</w:t>
      </w:r>
      <w:r w:rsidR="0017413D">
        <w:t>)</w:t>
      </w:r>
      <w:r w:rsidRPr="006931CF">
        <w:t xml:space="preserve"> Police</w:t>
      </w:r>
      <w:r w:rsidR="00086BD7">
        <w:t xml:space="preserve"> Force</w:t>
      </w:r>
      <w:r w:rsidRPr="006931CF">
        <w:t xml:space="preserve"> on behalf of the Department of </w:t>
      </w:r>
      <w:r>
        <w:t xml:space="preserve">Justice, </w:t>
      </w:r>
      <w:r w:rsidRPr="006931CF">
        <w:t xml:space="preserve">Corrective Services, in any one or more of the following circumstances: </w:t>
      </w:r>
    </w:p>
    <w:p w14:paraId="179FE86B" w14:textId="77777777" w:rsidR="006931CF" w:rsidRPr="006931CF" w:rsidRDefault="006931CF" w:rsidP="000E684A">
      <w:pPr>
        <w:pStyle w:val="Default"/>
        <w:numPr>
          <w:ilvl w:val="0"/>
          <w:numId w:val="17"/>
        </w:numPr>
        <w:spacing w:before="120" w:after="120"/>
        <w:ind w:left="709" w:hanging="283"/>
      </w:pPr>
      <w:r w:rsidRPr="006931CF">
        <w:t xml:space="preserve">whilst in transit between prisons </w:t>
      </w:r>
    </w:p>
    <w:p w14:paraId="6CA40C96" w14:textId="77777777" w:rsidR="00B95C92" w:rsidRDefault="006931CF" w:rsidP="000E684A">
      <w:pPr>
        <w:pStyle w:val="Default"/>
        <w:numPr>
          <w:ilvl w:val="0"/>
          <w:numId w:val="17"/>
        </w:numPr>
        <w:spacing w:before="120" w:after="120"/>
        <w:ind w:left="709" w:hanging="283"/>
      </w:pPr>
      <w:r w:rsidRPr="006931CF">
        <w:t xml:space="preserve">pending removal to a prison </w:t>
      </w:r>
    </w:p>
    <w:p w14:paraId="6C83CDC7" w14:textId="77777777" w:rsidR="0017413D" w:rsidRDefault="006931CF" w:rsidP="000E684A">
      <w:pPr>
        <w:pStyle w:val="Default"/>
        <w:numPr>
          <w:ilvl w:val="0"/>
          <w:numId w:val="17"/>
        </w:numPr>
        <w:spacing w:before="120" w:after="120"/>
        <w:ind w:left="709" w:hanging="283"/>
      </w:pPr>
      <w:r w:rsidRPr="00AB4BCA">
        <w:t xml:space="preserve">at the request of the prisoner and with the consent of the Lockup Keeper, or </w:t>
      </w:r>
    </w:p>
    <w:p w14:paraId="177A2BBA" w14:textId="77777777" w:rsidR="00B95C92" w:rsidRPr="00AB4BCA" w:rsidRDefault="006931CF" w:rsidP="000E684A">
      <w:pPr>
        <w:pStyle w:val="Default"/>
        <w:numPr>
          <w:ilvl w:val="0"/>
          <w:numId w:val="17"/>
        </w:numPr>
        <w:spacing w:before="120" w:after="120"/>
        <w:ind w:left="709" w:hanging="283"/>
      </w:pPr>
      <w:r w:rsidRPr="00AB4BCA">
        <w:t xml:space="preserve">at the request of a Lockup Keeper and with the consent of the prisoner </w:t>
      </w:r>
    </w:p>
    <w:p w14:paraId="44EC4FB8" w14:textId="77777777" w:rsidR="006931CF" w:rsidRDefault="006931CF" w:rsidP="000E684A">
      <w:pPr>
        <w:pStyle w:val="Default"/>
        <w:numPr>
          <w:ilvl w:val="0"/>
          <w:numId w:val="17"/>
        </w:numPr>
        <w:spacing w:before="120" w:after="120"/>
        <w:ind w:left="709" w:hanging="283"/>
      </w:pPr>
      <w:r w:rsidRPr="00B95C92">
        <w:t xml:space="preserve">when accommodation is insufficient at the local prison </w:t>
      </w:r>
    </w:p>
    <w:p w14:paraId="38BB14D2" w14:textId="77777777" w:rsidR="0017413D" w:rsidRPr="00B95C92" w:rsidRDefault="0017413D" w:rsidP="000E684A">
      <w:pPr>
        <w:pStyle w:val="Default"/>
        <w:numPr>
          <w:ilvl w:val="0"/>
          <w:numId w:val="17"/>
        </w:numPr>
        <w:spacing w:before="120" w:after="120"/>
        <w:ind w:left="709" w:hanging="283"/>
      </w:pPr>
      <w:r>
        <w:t>court attendance</w:t>
      </w:r>
    </w:p>
    <w:p w14:paraId="7C1A80FF" w14:textId="77777777" w:rsidR="006931CF" w:rsidRPr="006931CF" w:rsidRDefault="0017413D" w:rsidP="000E684A">
      <w:pPr>
        <w:pStyle w:val="Default"/>
        <w:numPr>
          <w:ilvl w:val="0"/>
          <w:numId w:val="17"/>
        </w:numPr>
        <w:spacing w:before="120" w:after="120"/>
        <w:ind w:left="709" w:hanging="283"/>
      </w:pPr>
      <w:r>
        <w:t>release from custody</w:t>
      </w:r>
    </w:p>
    <w:p w14:paraId="1FD3A622" w14:textId="77777777" w:rsidR="006931CF" w:rsidRDefault="006931CF" w:rsidP="000E684A">
      <w:pPr>
        <w:pStyle w:val="Default"/>
        <w:numPr>
          <w:ilvl w:val="0"/>
          <w:numId w:val="17"/>
        </w:numPr>
        <w:spacing w:before="120" w:after="120"/>
        <w:ind w:left="709" w:hanging="283"/>
      </w:pPr>
      <w:r w:rsidRPr="006931CF">
        <w:t xml:space="preserve">any other special or extenuating circumstances as determined by the </w:t>
      </w:r>
      <w:r w:rsidR="00CC1AE1">
        <w:t>relevant Deputy Commissioner</w:t>
      </w:r>
      <w:r w:rsidR="0017413D">
        <w:t>.</w:t>
      </w:r>
    </w:p>
    <w:p w14:paraId="1599249F" w14:textId="77777777" w:rsidR="003E1656" w:rsidRPr="006931CF" w:rsidRDefault="003E1656" w:rsidP="003E1656">
      <w:pPr>
        <w:pStyle w:val="Default"/>
      </w:pPr>
    </w:p>
    <w:p w14:paraId="2F1E9911" w14:textId="77777777" w:rsidR="00B14BC2" w:rsidRDefault="007E1398" w:rsidP="00A46175">
      <w:pPr>
        <w:pStyle w:val="Heading1"/>
      </w:pPr>
      <w:bookmarkStart w:id="2" w:name="_Toc140067665"/>
      <w:r>
        <w:lastRenderedPageBreak/>
        <w:t>Standard Requirements</w:t>
      </w:r>
      <w:bookmarkEnd w:id="2"/>
    </w:p>
    <w:p w14:paraId="43E2E895" w14:textId="77777777" w:rsidR="00B95C92" w:rsidRDefault="00B95C92" w:rsidP="00A46175">
      <w:pPr>
        <w:pStyle w:val="Heading3"/>
      </w:pPr>
      <w:r w:rsidRPr="007E1398">
        <w:t xml:space="preserve">Prisoners may be detained in lockups operated by the </w:t>
      </w:r>
      <w:r w:rsidR="00086BD7" w:rsidRPr="00086BD7">
        <w:t>WA Police Force</w:t>
      </w:r>
      <w:r w:rsidRPr="007E1398">
        <w:t xml:space="preserve">, or on behalf of the Department of </w:t>
      </w:r>
      <w:r>
        <w:t>Justice, Corrective Services</w:t>
      </w:r>
      <w:r w:rsidRPr="007E1398">
        <w:t xml:space="preserve"> in </w:t>
      </w:r>
      <w:r>
        <w:t>accordance with legislation</w:t>
      </w:r>
      <w:r>
        <w:rPr>
          <w:rStyle w:val="FootnoteReference"/>
        </w:rPr>
        <w:footnoteReference w:id="3"/>
      </w:r>
      <w:r w:rsidR="00380E16">
        <w:t>.</w:t>
      </w:r>
    </w:p>
    <w:p w14:paraId="730179F0" w14:textId="77777777" w:rsidR="007D61F3" w:rsidRDefault="007D61F3" w:rsidP="00A46175">
      <w:pPr>
        <w:pStyle w:val="Heading3"/>
        <w:rPr>
          <w:lang w:eastAsia="en-AU"/>
        </w:rPr>
      </w:pPr>
      <w:r w:rsidRPr="002D0E3F">
        <w:rPr>
          <w:lang w:eastAsia="en-AU"/>
        </w:rPr>
        <w:t xml:space="preserve">The </w:t>
      </w:r>
      <w:r w:rsidR="00757BEC">
        <w:rPr>
          <w:lang w:eastAsia="en-AU"/>
        </w:rPr>
        <w:t xml:space="preserve">relevant </w:t>
      </w:r>
      <w:r w:rsidRPr="002D0E3F">
        <w:rPr>
          <w:lang w:eastAsia="en-AU"/>
        </w:rPr>
        <w:t>Assistant Commissioner may intervene in any decision or recommendation made by a Superintendent and may substitute his/her recommendation or decision</w:t>
      </w:r>
      <w:r w:rsidR="00505C3E" w:rsidRPr="002D0E3F">
        <w:rPr>
          <w:lang w:eastAsia="en-AU"/>
        </w:rPr>
        <w:t>. The reasons for the change shall be detailed and recorded.</w:t>
      </w:r>
    </w:p>
    <w:p w14:paraId="1AAFD5EA" w14:textId="77777777" w:rsidR="007D61F3" w:rsidRDefault="007D61F3" w:rsidP="00A46175">
      <w:pPr>
        <w:pStyle w:val="Heading3"/>
        <w:rPr>
          <w:lang w:eastAsia="en-AU"/>
        </w:rPr>
      </w:pPr>
      <w:r w:rsidRPr="00B95C92">
        <w:rPr>
          <w:lang w:eastAsia="en-AU"/>
        </w:rPr>
        <w:t xml:space="preserve">A prisoner serving imprisonment in a lockup shall not be credited with gratuities unless with the express approval from the </w:t>
      </w:r>
      <w:r w:rsidR="00757BEC">
        <w:rPr>
          <w:lang w:eastAsia="en-AU"/>
        </w:rPr>
        <w:t>relevant Assistant Commissioner</w:t>
      </w:r>
      <w:r w:rsidRPr="00B95C92">
        <w:rPr>
          <w:lang w:eastAsia="en-AU"/>
        </w:rPr>
        <w:t>.</w:t>
      </w:r>
    </w:p>
    <w:p w14:paraId="66AE30DF" w14:textId="77777777" w:rsidR="00380E16" w:rsidRPr="00380E16" w:rsidRDefault="007D61F3" w:rsidP="00A46175">
      <w:pPr>
        <w:pStyle w:val="Heading3"/>
        <w:rPr>
          <w:lang w:eastAsia="en-AU"/>
        </w:rPr>
      </w:pPr>
      <w:r w:rsidRPr="00B95C92">
        <w:rPr>
          <w:lang w:eastAsia="en-AU"/>
        </w:rPr>
        <w:t xml:space="preserve">The Superintendent </w:t>
      </w:r>
      <w:r w:rsidR="00E631D6">
        <w:rPr>
          <w:lang w:eastAsia="en-AU"/>
        </w:rPr>
        <w:t>shall</w:t>
      </w:r>
      <w:r w:rsidRPr="00B95C92">
        <w:rPr>
          <w:lang w:eastAsia="en-AU"/>
        </w:rPr>
        <w:t xml:space="preserve"> provide the Lockup Keeper with a list of approved visitors for each prisoner placed in a lock up</w:t>
      </w:r>
      <w:r w:rsidR="00B95C92">
        <w:rPr>
          <w:rStyle w:val="FootnoteReference"/>
          <w:lang w:eastAsia="en-AU"/>
        </w:rPr>
        <w:footnoteReference w:id="4"/>
      </w:r>
      <w:r w:rsidR="00B95C92">
        <w:rPr>
          <w:lang w:eastAsia="en-AU"/>
        </w:rPr>
        <w:t>.</w:t>
      </w:r>
    </w:p>
    <w:p w14:paraId="4395C410" w14:textId="77777777" w:rsidR="007D61F3" w:rsidRPr="00B95C92" w:rsidRDefault="007D61F3" w:rsidP="00A46175">
      <w:pPr>
        <w:pStyle w:val="Heading3"/>
        <w:rPr>
          <w:lang w:eastAsia="en-AU"/>
        </w:rPr>
      </w:pPr>
      <w:r w:rsidRPr="00B95C92">
        <w:rPr>
          <w:lang w:eastAsia="en-AU"/>
        </w:rPr>
        <w:t xml:space="preserve">A prisoner serving imprisonment in a lockup is eligible to apply to the </w:t>
      </w:r>
      <w:r w:rsidR="0017413D">
        <w:rPr>
          <w:lang w:eastAsia="en-AU"/>
        </w:rPr>
        <w:t xml:space="preserve">responsible </w:t>
      </w:r>
      <w:r w:rsidRPr="00B95C92">
        <w:rPr>
          <w:lang w:eastAsia="en-AU"/>
        </w:rPr>
        <w:t>Superintendent for that lockup for early discharge</w:t>
      </w:r>
      <w:r w:rsidR="00B95C92">
        <w:rPr>
          <w:lang w:eastAsia="en-AU"/>
        </w:rPr>
        <w:t xml:space="preserve"> in accordance with legislation</w:t>
      </w:r>
      <w:r w:rsidR="00B95C92">
        <w:rPr>
          <w:rStyle w:val="FootnoteReference"/>
          <w:lang w:eastAsia="en-AU"/>
        </w:rPr>
        <w:footnoteReference w:id="5"/>
      </w:r>
      <w:r w:rsidRPr="00B95C92">
        <w:rPr>
          <w:lang w:eastAsia="en-AU"/>
        </w:rPr>
        <w:t xml:space="preserve"> </w:t>
      </w:r>
      <w:r w:rsidR="00B95C92">
        <w:rPr>
          <w:lang w:eastAsia="en-AU"/>
        </w:rPr>
        <w:t xml:space="preserve">and </w:t>
      </w:r>
      <w:hyperlink r:id="rId16" w:history="1">
        <w:r w:rsidR="00B95C92" w:rsidRPr="00835C6C">
          <w:rPr>
            <w:rStyle w:val="Hyperlink"/>
            <w:lang w:eastAsia="en-AU"/>
          </w:rPr>
          <w:t>COPP 14.</w:t>
        </w:r>
        <w:r w:rsidR="006B4BE7" w:rsidRPr="00835C6C">
          <w:rPr>
            <w:rStyle w:val="Hyperlink"/>
            <w:lang w:eastAsia="en-AU"/>
          </w:rPr>
          <w:t xml:space="preserve">6 </w:t>
        </w:r>
        <w:r w:rsidR="00311D27" w:rsidRPr="00835C6C">
          <w:rPr>
            <w:rStyle w:val="Hyperlink"/>
            <w:lang w:eastAsia="en-AU"/>
          </w:rPr>
          <w:t xml:space="preserve">– </w:t>
        </w:r>
        <w:r w:rsidR="006B4BE7" w:rsidRPr="00835C6C">
          <w:rPr>
            <w:rStyle w:val="Hyperlink"/>
            <w:lang w:eastAsia="en-AU"/>
          </w:rPr>
          <w:t>Prisoners Released from Custody</w:t>
        </w:r>
      </w:hyperlink>
      <w:r w:rsidRPr="00B95C92">
        <w:rPr>
          <w:lang w:eastAsia="en-AU"/>
        </w:rPr>
        <w:t>.</w:t>
      </w:r>
    </w:p>
    <w:p w14:paraId="638F669D" w14:textId="10E34744" w:rsidR="007D61F3" w:rsidRPr="00B95C92" w:rsidRDefault="006D4597" w:rsidP="00A46175">
      <w:pPr>
        <w:pStyle w:val="Heading3"/>
        <w:rPr>
          <w:lang w:eastAsia="en-AU"/>
        </w:rPr>
      </w:pPr>
      <w:r>
        <w:rPr>
          <w:lang w:eastAsia="en-AU"/>
        </w:rPr>
        <w:t>The Lockup K</w:t>
      </w:r>
      <w:r w:rsidR="007D61F3" w:rsidRPr="00B95C92">
        <w:rPr>
          <w:lang w:eastAsia="en-AU"/>
        </w:rPr>
        <w:t xml:space="preserve">eeper shall advise the </w:t>
      </w:r>
      <w:r w:rsidR="00AB4BCA">
        <w:rPr>
          <w:lang w:eastAsia="en-AU"/>
        </w:rPr>
        <w:t>S</w:t>
      </w:r>
      <w:r w:rsidR="007D61F3" w:rsidRPr="00B95C92">
        <w:rPr>
          <w:lang w:eastAsia="en-AU"/>
        </w:rPr>
        <w:t xml:space="preserve">uperintendent immediately of an escape by a prisoner. </w:t>
      </w:r>
      <w:r w:rsidR="00AB4BCA">
        <w:rPr>
          <w:lang w:eastAsia="en-AU"/>
        </w:rPr>
        <w:t>The</w:t>
      </w:r>
      <w:r w:rsidR="007D61F3" w:rsidRPr="00B95C92">
        <w:rPr>
          <w:lang w:eastAsia="en-AU"/>
        </w:rPr>
        <w:t xml:space="preserve"> Superintendent shall </w:t>
      </w:r>
      <w:r w:rsidR="00AB4BCA">
        <w:rPr>
          <w:lang w:eastAsia="en-AU"/>
        </w:rPr>
        <w:t xml:space="preserve">then </w:t>
      </w:r>
      <w:r w:rsidR="007D61F3" w:rsidRPr="00B95C92">
        <w:rPr>
          <w:lang w:eastAsia="en-AU"/>
        </w:rPr>
        <w:t xml:space="preserve">notify the Superintendent Administration </w:t>
      </w:r>
      <w:r w:rsidR="008921C1">
        <w:rPr>
          <w:lang w:eastAsia="en-AU"/>
        </w:rPr>
        <w:t xml:space="preserve">and </w:t>
      </w:r>
      <w:r w:rsidR="008E05B0">
        <w:rPr>
          <w:lang w:eastAsia="en-AU"/>
        </w:rPr>
        <w:t>the Operations Centre (</w:t>
      </w:r>
      <w:r w:rsidR="008921C1">
        <w:rPr>
          <w:lang w:eastAsia="en-AU"/>
        </w:rPr>
        <w:t>O</w:t>
      </w:r>
      <w:r w:rsidR="00577044">
        <w:rPr>
          <w:lang w:eastAsia="en-AU"/>
        </w:rPr>
        <w:t>PCEN</w:t>
      </w:r>
      <w:r w:rsidR="008E05B0">
        <w:rPr>
          <w:lang w:eastAsia="en-AU"/>
        </w:rPr>
        <w:t>)</w:t>
      </w:r>
      <w:r w:rsidR="008921C1">
        <w:rPr>
          <w:lang w:eastAsia="en-AU"/>
        </w:rPr>
        <w:t xml:space="preserve"> </w:t>
      </w:r>
      <w:r w:rsidR="007D61F3" w:rsidRPr="00B95C92">
        <w:rPr>
          <w:lang w:eastAsia="en-AU"/>
        </w:rPr>
        <w:t xml:space="preserve">as soon as practicable of the details of the escape in accordance with </w:t>
      </w:r>
      <w:hyperlink r:id="rId17" w:history="1">
        <w:r w:rsidR="00B95C92" w:rsidRPr="00835C6C">
          <w:rPr>
            <w:rStyle w:val="Hyperlink"/>
            <w:lang w:eastAsia="en-AU"/>
          </w:rPr>
          <w:t xml:space="preserve">COPP 13.1 </w:t>
        </w:r>
        <w:r w:rsidR="00311D27" w:rsidRPr="00835C6C">
          <w:rPr>
            <w:rStyle w:val="Hyperlink"/>
            <w:lang w:eastAsia="en-AU"/>
          </w:rPr>
          <w:t xml:space="preserve">– </w:t>
        </w:r>
        <w:r w:rsidR="00B95C92" w:rsidRPr="00835C6C">
          <w:rPr>
            <w:rStyle w:val="Hyperlink"/>
            <w:lang w:eastAsia="en-AU"/>
          </w:rPr>
          <w:t xml:space="preserve">Incident </w:t>
        </w:r>
        <w:r w:rsidR="00311D27" w:rsidRPr="00835C6C">
          <w:rPr>
            <w:rStyle w:val="Hyperlink"/>
            <w:lang w:eastAsia="en-AU"/>
          </w:rPr>
          <w:t xml:space="preserve">Notifications, </w:t>
        </w:r>
        <w:r w:rsidR="00B95C92" w:rsidRPr="00835C6C">
          <w:rPr>
            <w:rStyle w:val="Hyperlink"/>
            <w:lang w:eastAsia="en-AU"/>
          </w:rPr>
          <w:t xml:space="preserve">Reporting and </w:t>
        </w:r>
        <w:r w:rsidR="00311D27" w:rsidRPr="00835C6C">
          <w:rPr>
            <w:rStyle w:val="Hyperlink"/>
            <w:lang w:eastAsia="en-AU"/>
          </w:rPr>
          <w:t>Communications</w:t>
        </w:r>
      </w:hyperlink>
      <w:r w:rsidR="0038540E" w:rsidRPr="001031E0">
        <w:t>.</w:t>
      </w:r>
    </w:p>
    <w:p w14:paraId="0F6075D9" w14:textId="77777777" w:rsidR="007D61F3" w:rsidRPr="00B95C92" w:rsidRDefault="007D61F3" w:rsidP="00A46175">
      <w:pPr>
        <w:pStyle w:val="Heading3"/>
        <w:rPr>
          <w:lang w:eastAsia="en-AU"/>
        </w:rPr>
      </w:pPr>
      <w:r w:rsidRPr="00B95C92">
        <w:rPr>
          <w:lang w:eastAsia="en-AU"/>
        </w:rPr>
        <w:t xml:space="preserve">The procedure following the death of a prisoner at a lockup shall be subject to </w:t>
      </w:r>
      <w:r w:rsidR="00B95C92">
        <w:rPr>
          <w:lang w:eastAsia="en-AU"/>
        </w:rPr>
        <w:t>legislation</w:t>
      </w:r>
      <w:r w:rsidR="00B95C92">
        <w:rPr>
          <w:rStyle w:val="FootnoteReference"/>
          <w:lang w:eastAsia="en-AU"/>
        </w:rPr>
        <w:footnoteReference w:id="6"/>
      </w:r>
      <w:r w:rsidR="00AB4BCA">
        <w:rPr>
          <w:lang w:eastAsia="en-AU"/>
        </w:rPr>
        <w:t>.</w:t>
      </w:r>
    </w:p>
    <w:p w14:paraId="0295AD06" w14:textId="77777777" w:rsidR="007D61F3" w:rsidRDefault="007D61F3" w:rsidP="00A46175">
      <w:pPr>
        <w:pStyle w:val="Heading3"/>
        <w:rPr>
          <w:lang w:eastAsia="en-AU"/>
        </w:rPr>
      </w:pPr>
      <w:r w:rsidRPr="00B95C92">
        <w:rPr>
          <w:lang w:eastAsia="en-AU"/>
        </w:rPr>
        <w:t xml:space="preserve">No more than </w:t>
      </w:r>
      <w:r w:rsidR="009F2701" w:rsidRPr="00B95C92">
        <w:rPr>
          <w:lang w:eastAsia="en-AU"/>
        </w:rPr>
        <w:t xml:space="preserve">3 </w:t>
      </w:r>
      <w:r w:rsidRPr="00B95C92">
        <w:rPr>
          <w:lang w:eastAsia="en-AU"/>
        </w:rPr>
        <w:t xml:space="preserve">prisoners at </w:t>
      </w:r>
      <w:r w:rsidR="00CA220B">
        <w:rPr>
          <w:lang w:eastAsia="en-AU"/>
        </w:rPr>
        <w:t xml:space="preserve">any </w:t>
      </w:r>
      <w:r w:rsidRPr="00B95C92">
        <w:rPr>
          <w:lang w:eastAsia="en-AU"/>
        </w:rPr>
        <w:t xml:space="preserve">one time shall be approved for placement at any one lockup, except with the approval of the </w:t>
      </w:r>
      <w:r w:rsidR="00757BEC">
        <w:rPr>
          <w:lang w:eastAsia="en-AU"/>
        </w:rPr>
        <w:t>relevant Assistant Commissioner</w:t>
      </w:r>
      <w:r w:rsidRPr="00B95C92">
        <w:rPr>
          <w:lang w:eastAsia="en-AU"/>
        </w:rPr>
        <w:t xml:space="preserve">. </w:t>
      </w:r>
    </w:p>
    <w:p w14:paraId="431B7295" w14:textId="77777777" w:rsidR="00065A5C" w:rsidRPr="00065A5C" w:rsidRDefault="00065A5C" w:rsidP="000E684A">
      <w:pPr>
        <w:rPr>
          <w:lang w:eastAsia="en-AU"/>
        </w:rPr>
      </w:pPr>
    </w:p>
    <w:p w14:paraId="0F0788D7" w14:textId="77777777" w:rsidR="008076D2" w:rsidRPr="002F7E2E" w:rsidRDefault="00302474" w:rsidP="00A46175">
      <w:pPr>
        <w:pStyle w:val="Heading1"/>
        <w:rPr>
          <w:lang w:eastAsia="en-AU"/>
        </w:rPr>
      </w:pPr>
      <w:bookmarkStart w:id="3" w:name="_Toc140067666"/>
      <w:r>
        <w:rPr>
          <w:lang w:eastAsia="en-AU"/>
        </w:rPr>
        <w:t>Temporary Prisoner Placement</w:t>
      </w:r>
      <w:bookmarkEnd w:id="3"/>
    </w:p>
    <w:p w14:paraId="2F1947E5" w14:textId="3C4E1C3D" w:rsidR="008076D2" w:rsidRPr="002F7E2E" w:rsidRDefault="008076D2" w:rsidP="00A46175">
      <w:pPr>
        <w:pStyle w:val="Heading3"/>
        <w:rPr>
          <w:lang w:eastAsia="en-AU"/>
        </w:rPr>
      </w:pPr>
      <w:r w:rsidRPr="002F7E2E">
        <w:rPr>
          <w:lang w:eastAsia="en-AU"/>
        </w:rPr>
        <w:t xml:space="preserve">When a prisoner cannot be held in the local prison due to insufficient secure accommodation or there is no separate accommodation for male and </w:t>
      </w:r>
      <w:r w:rsidR="00833D89">
        <w:rPr>
          <w:lang w:eastAsia="en-AU"/>
        </w:rPr>
        <w:t>women</w:t>
      </w:r>
      <w:r w:rsidRPr="002F7E2E">
        <w:rPr>
          <w:lang w:eastAsia="en-AU"/>
        </w:rPr>
        <w:t xml:space="preserve"> prisoners, the following applies:</w:t>
      </w:r>
    </w:p>
    <w:p w14:paraId="77E7E0F9" w14:textId="77777777" w:rsidR="008076D2" w:rsidRPr="002F7E2E" w:rsidRDefault="008076D2" w:rsidP="00835C6C">
      <w:pPr>
        <w:numPr>
          <w:ilvl w:val="0"/>
          <w:numId w:val="36"/>
        </w:numPr>
        <w:spacing w:before="120" w:after="120"/>
        <w:ind w:left="1077" w:hanging="357"/>
        <w:rPr>
          <w:rFonts w:eastAsia="Times New Roman"/>
          <w:lang w:eastAsia="en-AU"/>
        </w:rPr>
      </w:pPr>
      <w:r w:rsidRPr="002F7E2E">
        <w:rPr>
          <w:rFonts w:eastAsia="Times New Roman"/>
          <w:lang w:eastAsia="en-AU"/>
        </w:rPr>
        <w:t>the Superintendent</w:t>
      </w:r>
      <w:r w:rsidR="002F7E2E" w:rsidRPr="002F7E2E">
        <w:rPr>
          <w:rFonts w:eastAsia="Times New Roman"/>
          <w:lang w:eastAsia="en-AU"/>
        </w:rPr>
        <w:t>/</w:t>
      </w:r>
      <w:r w:rsidR="00757BEC">
        <w:rPr>
          <w:rFonts w:eastAsia="Times New Roman"/>
          <w:lang w:eastAsia="en-AU"/>
        </w:rPr>
        <w:t>Officer in Charge (</w:t>
      </w:r>
      <w:r w:rsidRPr="002F7E2E">
        <w:rPr>
          <w:rFonts w:eastAsia="Times New Roman"/>
          <w:lang w:eastAsia="en-AU"/>
        </w:rPr>
        <w:t>OIC</w:t>
      </w:r>
      <w:r w:rsidR="00757BEC">
        <w:rPr>
          <w:rFonts w:eastAsia="Times New Roman"/>
          <w:lang w:eastAsia="en-AU"/>
        </w:rPr>
        <w:t>)</w:t>
      </w:r>
      <w:r w:rsidRPr="002F7E2E">
        <w:rPr>
          <w:rFonts w:eastAsia="Times New Roman"/>
          <w:lang w:eastAsia="en-AU"/>
        </w:rPr>
        <w:t xml:space="preserve"> of the prison shall seek approval from the relevant authority of the lockup</w:t>
      </w:r>
      <w:r w:rsidRPr="00A46175">
        <w:rPr>
          <w:rFonts w:eastAsia="Times New Roman"/>
          <w:lang w:eastAsia="en-AU"/>
        </w:rPr>
        <w:t xml:space="preserve"> </w:t>
      </w:r>
      <w:r w:rsidRPr="002F7E2E">
        <w:rPr>
          <w:rFonts w:eastAsia="Times New Roman"/>
          <w:lang w:eastAsia="en-AU"/>
        </w:rPr>
        <w:t xml:space="preserve">for temporary placement of the prisoner </w:t>
      </w:r>
    </w:p>
    <w:p w14:paraId="15AEA6EC" w14:textId="77777777" w:rsidR="00065A5C" w:rsidRPr="00835C6C" w:rsidRDefault="008076D2" w:rsidP="00835C6C">
      <w:pPr>
        <w:numPr>
          <w:ilvl w:val="0"/>
          <w:numId w:val="36"/>
        </w:numPr>
        <w:spacing w:before="120" w:after="120"/>
        <w:ind w:left="1077" w:hanging="357"/>
        <w:rPr>
          <w:rFonts w:eastAsia="Times New Roman"/>
          <w:lang w:eastAsia="en-AU"/>
        </w:rPr>
      </w:pPr>
      <w:r w:rsidRPr="002F7E2E">
        <w:rPr>
          <w:rFonts w:eastAsia="Times New Roman"/>
          <w:lang w:eastAsia="en-AU"/>
        </w:rPr>
        <w:t>the relevant authority of the lockup shall confirm their approval in writing to the Superintendent, completing the</w:t>
      </w:r>
      <w:r w:rsidR="003C5E28">
        <w:rPr>
          <w:rFonts w:eastAsia="Times New Roman"/>
          <w:lang w:eastAsia="en-AU"/>
        </w:rPr>
        <w:t xml:space="preserve"> </w:t>
      </w:r>
      <w:hyperlink r:id="rId18" w:history="1">
        <w:r w:rsidR="00BF0FF1" w:rsidRPr="001335C0">
          <w:rPr>
            <w:rStyle w:val="Hyperlink"/>
            <w:lang w:eastAsia="en-AU"/>
          </w:rPr>
          <w:t xml:space="preserve">Application for </w:t>
        </w:r>
        <w:r w:rsidR="003C1B03" w:rsidRPr="001335C0">
          <w:rPr>
            <w:rStyle w:val="Hyperlink"/>
            <w:lang w:eastAsia="en-AU"/>
          </w:rPr>
          <w:t xml:space="preserve">Temporary Placement </w:t>
        </w:r>
        <w:r w:rsidR="00BF0FF1" w:rsidRPr="001335C0">
          <w:rPr>
            <w:rStyle w:val="Hyperlink"/>
            <w:lang w:eastAsia="en-AU"/>
          </w:rPr>
          <w:t xml:space="preserve">at </w:t>
        </w:r>
        <w:r w:rsidR="003C1B03" w:rsidRPr="001335C0">
          <w:rPr>
            <w:rStyle w:val="Hyperlink"/>
            <w:lang w:eastAsia="en-AU"/>
          </w:rPr>
          <w:t>Police Lockups</w:t>
        </w:r>
      </w:hyperlink>
      <w:r w:rsidR="003C1B03" w:rsidRPr="00835C6C">
        <w:rPr>
          <w:lang w:eastAsia="en-AU"/>
        </w:rPr>
        <w:t xml:space="preserve"> </w:t>
      </w:r>
      <w:r w:rsidR="00757BEC" w:rsidRPr="00835C6C">
        <w:rPr>
          <w:lang w:eastAsia="en-AU"/>
        </w:rPr>
        <w:t>form</w:t>
      </w:r>
      <w:r w:rsidRPr="002F7E2E">
        <w:rPr>
          <w:rFonts w:eastAsia="Times New Roman"/>
          <w:lang w:eastAsia="en-AU"/>
        </w:rPr>
        <w:t xml:space="preserve">, signed by both the Superintendent and the </w:t>
      </w:r>
      <w:r w:rsidR="00702AC6">
        <w:rPr>
          <w:rFonts w:eastAsia="Times New Roman"/>
          <w:lang w:eastAsia="en-AU"/>
        </w:rPr>
        <w:t>person in charge of the lockup</w:t>
      </w:r>
      <w:r w:rsidRPr="002F7E2E">
        <w:rPr>
          <w:rFonts w:eastAsia="Times New Roman"/>
          <w:lang w:eastAsia="en-AU"/>
        </w:rPr>
        <w:t>.</w:t>
      </w:r>
    </w:p>
    <w:p w14:paraId="684665F4" w14:textId="77777777" w:rsidR="00B35B9F" w:rsidRPr="00B35B9F" w:rsidRDefault="00B35B9F" w:rsidP="00A46175">
      <w:pPr>
        <w:pStyle w:val="Heading1"/>
      </w:pPr>
      <w:bookmarkStart w:id="4" w:name="_Toc140067667"/>
      <w:r w:rsidRPr="00B35B9F">
        <w:lastRenderedPageBreak/>
        <w:t>Lockup Requests/Placement</w:t>
      </w:r>
      <w:bookmarkEnd w:id="4"/>
    </w:p>
    <w:p w14:paraId="6FC220A6" w14:textId="77777777" w:rsidR="00B35B9F" w:rsidRPr="00A46175" w:rsidRDefault="00B35B9F" w:rsidP="00A46175">
      <w:pPr>
        <w:pStyle w:val="Heading2"/>
      </w:pPr>
      <w:bookmarkStart w:id="5" w:name="_Toc140067668"/>
      <w:r w:rsidRPr="00A46175">
        <w:t xml:space="preserve">Prisoner </w:t>
      </w:r>
      <w:r w:rsidR="000A4D8C" w:rsidRPr="00A46175">
        <w:t>p</w:t>
      </w:r>
      <w:r w:rsidRPr="00A46175">
        <w:t>lacement</w:t>
      </w:r>
      <w:bookmarkEnd w:id="5"/>
    </w:p>
    <w:p w14:paraId="056B6670" w14:textId="77777777" w:rsidR="00B35B9F" w:rsidRPr="00653434" w:rsidRDefault="00B35B9F" w:rsidP="00A46175">
      <w:pPr>
        <w:pStyle w:val="Heading3"/>
      </w:pPr>
      <w:r w:rsidRPr="00653434">
        <w:t xml:space="preserve">A prisoner’s placement in a lockup is dependent upon the approval of the </w:t>
      </w:r>
      <w:r w:rsidR="00BD2E09" w:rsidRPr="00653434">
        <w:t>Commissioner of Police</w:t>
      </w:r>
      <w:r w:rsidR="00CA220B">
        <w:rPr>
          <w:rStyle w:val="FootnoteReference"/>
        </w:rPr>
        <w:footnoteReference w:id="7"/>
      </w:r>
      <w:r w:rsidRPr="00653434">
        <w:t xml:space="preserve">, and the Superintendent who has responsibility for that lockup in accordance with the </w:t>
      </w:r>
      <w:hyperlink w:anchor="_Appendix_A:_Schedule" w:history="1">
        <w:r w:rsidRPr="000C18F5">
          <w:rPr>
            <w:rStyle w:val="Hyperlink"/>
          </w:rPr>
          <w:t xml:space="preserve">Appendix </w:t>
        </w:r>
        <w:r w:rsidR="00835C6C" w:rsidRPr="000C18F5">
          <w:rPr>
            <w:rStyle w:val="Hyperlink"/>
          </w:rPr>
          <w:t>A</w:t>
        </w:r>
        <w:r w:rsidRPr="000C18F5">
          <w:rPr>
            <w:rStyle w:val="Hyperlink"/>
          </w:rPr>
          <w:t xml:space="preserve">: Schedule of </w:t>
        </w:r>
        <w:r w:rsidR="00835C6C" w:rsidRPr="000C18F5">
          <w:rPr>
            <w:rStyle w:val="Hyperlink"/>
          </w:rPr>
          <w:t xml:space="preserve">WA </w:t>
        </w:r>
        <w:r w:rsidRPr="000C18F5">
          <w:rPr>
            <w:rStyle w:val="Hyperlink"/>
          </w:rPr>
          <w:t>Police Lockups</w:t>
        </w:r>
      </w:hyperlink>
      <w:r w:rsidRPr="00653434">
        <w:t>.</w:t>
      </w:r>
    </w:p>
    <w:p w14:paraId="044579FC" w14:textId="77777777" w:rsidR="00B35B9F" w:rsidRPr="00653434" w:rsidRDefault="00B35B9F" w:rsidP="00A46175">
      <w:pPr>
        <w:pStyle w:val="Heading3"/>
      </w:pPr>
      <w:r w:rsidRPr="00653434">
        <w:t xml:space="preserve">The management and routine of a prisoner approved for placement in a lockup is the responsibility of the Lockup Keeper; however the Commissioner, Corrective Services or </w:t>
      </w:r>
      <w:r w:rsidR="008E05B0">
        <w:t>their</w:t>
      </w:r>
      <w:r w:rsidRPr="00653434">
        <w:t xml:space="preserve"> delegate shall retain custody of the prisoner.</w:t>
      </w:r>
    </w:p>
    <w:p w14:paraId="78655ADC" w14:textId="77777777" w:rsidR="00B35B9F" w:rsidRPr="00A46175" w:rsidRDefault="00B35B9F" w:rsidP="00A46175">
      <w:pPr>
        <w:pStyle w:val="Heading2"/>
      </w:pPr>
      <w:bookmarkStart w:id="6" w:name="_Toc140067669"/>
      <w:r w:rsidRPr="00A46175">
        <w:t xml:space="preserve">Prisoner or Lockup keeper </w:t>
      </w:r>
      <w:r w:rsidR="000A4D8C" w:rsidRPr="00A46175">
        <w:t>r</w:t>
      </w:r>
      <w:r w:rsidRPr="00A46175">
        <w:t>equests</w:t>
      </w:r>
      <w:bookmarkEnd w:id="6"/>
    </w:p>
    <w:p w14:paraId="635BB177" w14:textId="77777777" w:rsidR="002B0FBA" w:rsidRDefault="002B0FBA" w:rsidP="00A46175">
      <w:pPr>
        <w:pStyle w:val="Heading3"/>
        <w:rPr>
          <w:lang w:eastAsia="en-AU"/>
        </w:rPr>
      </w:pPr>
      <w:r w:rsidRPr="00AB4BCA">
        <w:rPr>
          <w:lang w:eastAsia="en-AU"/>
        </w:rPr>
        <w:t>Prisoners may make a written application to the Superintendent for approval to be transferred to a lockup and apply in writing to the Lockup Keeper to remain in a lockup for a period in excess of 14 days.</w:t>
      </w:r>
    </w:p>
    <w:p w14:paraId="4FB412B2" w14:textId="77777777" w:rsidR="00CC1AE1" w:rsidRPr="00CC1AE1" w:rsidRDefault="00CC1AE1" w:rsidP="00A46175">
      <w:pPr>
        <w:pStyle w:val="Heading3"/>
        <w:rPr>
          <w:lang w:eastAsia="en-AU"/>
        </w:rPr>
      </w:pPr>
      <w:r w:rsidRPr="00AB4BCA">
        <w:rPr>
          <w:lang w:eastAsia="en-AU"/>
        </w:rPr>
        <w:t>The Superintendent shall consider the merits of the application having regard to the continuing custody and welfare of the prisoner</w:t>
      </w:r>
      <w:r>
        <w:rPr>
          <w:lang w:eastAsia="en-AU"/>
        </w:rPr>
        <w:t>.</w:t>
      </w:r>
    </w:p>
    <w:p w14:paraId="4A3E2927" w14:textId="77777777" w:rsidR="002B0FBA" w:rsidRPr="00AB4BCA" w:rsidRDefault="002B0FBA" w:rsidP="00A46175">
      <w:pPr>
        <w:pStyle w:val="Heading3"/>
        <w:rPr>
          <w:lang w:eastAsia="en-AU"/>
        </w:rPr>
      </w:pPr>
      <w:r w:rsidRPr="00AB4BCA">
        <w:rPr>
          <w:lang w:eastAsia="en-AU"/>
        </w:rPr>
        <w:t>A Lockup Keeper may make a request to a Superintendent for a prisoner to be placed at a lockup. A prisoner placed at a lockup in this circumstance must consent to the placement.</w:t>
      </w:r>
      <w:bookmarkStart w:id="7" w:name="section93"/>
    </w:p>
    <w:p w14:paraId="4DBDABFD" w14:textId="56C2D65C" w:rsidR="002B0FBA" w:rsidRPr="00AB4BCA" w:rsidRDefault="009F2701" w:rsidP="00A46175">
      <w:pPr>
        <w:pStyle w:val="Heading3"/>
        <w:rPr>
          <w:lang w:eastAsia="en-AU"/>
        </w:rPr>
      </w:pPr>
      <w:r w:rsidRPr="00AB4BCA">
        <w:rPr>
          <w:lang w:eastAsia="en-AU"/>
        </w:rPr>
        <w:t>Prisoners shall be required to meet</w:t>
      </w:r>
      <w:r w:rsidR="002B0FBA" w:rsidRPr="00AB4BCA">
        <w:rPr>
          <w:lang w:eastAsia="en-AU"/>
        </w:rPr>
        <w:t xml:space="preserve"> all of the following </w:t>
      </w:r>
      <w:r w:rsidR="00701313" w:rsidRPr="00AB4BCA">
        <w:rPr>
          <w:lang w:eastAsia="en-AU"/>
        </w:rPr>
        <w:t>conditions</w:t>
      </w:r>
      <w:r w:rsidR="002B0FBA" w:rsidRPr="00AB4BCA">
        <w:rPr>
          <w:lang w:eastAsia="en-AU"/>
        </w:rPr>
        <w:t xml:space="preserve"> </w:t>
      </w:r>
      <w:r w:rsidR="00701313" w:rsidRPr="00AB4BCA">
        <w:rPr>
          <w:lang w:eastAsia="en-AU"/>
        </w:rPr>
        <w:t>and obtain approval from</w:t>
      </w:r>
      <w:r w:rsidR="002B0FBA" w:rsidRPr="00AB4BCA">
        <w:rPr>
          <w:lang w:eastAsia="en-AU"/>
        </w:rPr>
        <w:t xml:space="preserve"> the Superintendent to serve </w:t>
      </w:r>
      <w:r w:rsidR="008E05B0">
        <w:rPr>
          <w:lang w:eastAsia="en-AU"/>
        </w:rPr>
        <w:t>their</w:t>
      </w:r>
      <w:r w:rsidR="002B0FBA" w:rsidRPr="00AB4BCA">
        <w:rPr>
          <w:lang w:eastAsia="en-AU"/>
        </w:rPr>
        <w:t xml:space="preserve"> sentence at a lockup</w:t>
      </w:r>
      <w:r w:rsidR="00293E3B">
        <w:rPr>
          <w:lang w:eastAsia="en-AU"/>
        </w:rPr>
        <w:t>, if the prisoner</w:t>
      </w:r>
      <w:r w:rsidR="002B0FBA" w:rsidRPr="00AB4BCA">
        <w:rPr>
          <w:lang w:eastAsia="en-AU"/>
        </w:rPr>
        <w:t>:</w:t>
      </w:r>
    </w:p>
    <w:p w14:paraId="007BD531" w14:textId="77777777" w:rsidR="002B0FBA" w:rsidRPr="00AB4BCA" w:rsidRDefault="002B0FBA" w:rsidP="00835C6C">
      <w:pPr>
        <w:pStyle w:val="ListParagraph"/>
        <w:numPr>
          <w:ilvl w:val="0"/>
          <w:numId w:val="46"/>
        </w:numPr>
        <w:spacing w:before="120" w:after="120"/>
        <w:ind w:left="1134" w:hanging="425"/>
        <w:contextualSpacing w:val="0"/>
        <w:rPr>
          <w:rFonts w:eastAsia="Times New Roman"/>
          <w:lang w:eastAsia="en-AU"/>
        </w:rPr>
      </w:pPr>
      <w:r w:rsidRPr="00AB4BCA">
        <w:rPr>
          <w:rFonts w:eastAsia="Times New Roman"/>
          <w:lang w:eastAsia="en-AU"/>
        </w:rPr>
        <w:t xml:space="preserve">is rated as minimum security following the completion of a Management and Placement Checklist </w:t>
      </w:r>
      <w:r w:rsidR="00293E3B">
        <w:rPr>
          <w:rFonts w:eastAsia="Times New Roman"/>
          <w:lang w:eastAsia="en-AU"/>
        </w:rPr>
        <w:t xml:space="preserve">(MAP) </w:t>
      </w:r>
      <w:r w:rsidRPr="00AB4BCA">
        <w:rPr>
          <w:rFonts w:eastAsia="Times New Roman"/>
          <w:lang w:eastAsia="en-AU"/>
        </w:rPr>
        <w:t xml:space="preserve">or Individual Management Plan </w:t>
      </w:r>
      <w:r w:rsidR="00293E3B">
        <w:rPr>
          <w:rFonts w:eastAsia="Times New Roman"/>
          <w:lang w:eastAsia="en-AU"/>
        </w:rPr>
        <w:t xml:space="preserve">(IMP) </w:t>
      </w:r>
      <w:r w:rsidRPr="00AB4BCA">
        <w:rPr>
          <w:rFonts w:eastAsia="Times New Roman"/>
          <w:lang w:eastAsia="en-AU"/>
        </w:rPr>
        <w:t xml:space="preserve">as appropriate and in accordance with </w:t>
      </w:r>
      <w:hyperlink r:id="rId19" w:history="1">
        <w:r w:rsidRPr="000C18F5">
          <w:rPr>
            <w:rStyle w:val="Hyperlink"/>
            <w:rFonts w:eastAsia="Times New Roman"/>
            <w:lang w:eastAsia="en-AU"/>
          </w:rPr>
          <w:t xml:space="preserve">COPP 2.3 </w:t>
        </w:r>
        <w:r w:rsidR="00311D27" w:rsidRPr="000C18F5">
          <w:rPr>
            <w:rStyle w:val="Hyperlink"/>
            <w:rFonts w:eastAsia="Times New Roman"/>
            <w:lang w:eastAsia="en-AU"/>
          </w:rPr>
          <w:t xml:space="preserve">– </w:t>
        </w:r>
        <w:r w:rsidRPr="000C18F5">
          <w:rPr>
            <w:rStyle w:val="Hyperlink"/>
            <w:rFonts w:eastAsia="Times New Roman"/>
            <w:lang w:eastAsia="en-AU"/>
          </w:rPr>
          <w:t>Assessments, Placements and Sentence Management</w:t>
        </w:r>
      </w:hyperlink>
    </w:p>
    <w:p w14:paraId="29AE68D5" w14:textId="77777777" w:rsidR="002B0FBA" w:rsidRPr="00AB4BCA" w:rsidRDefault="002B0FBA" w:rsidP="00835C6C">
      <w:pPr>
        <w:pStyle w:val="ListParagraph"/>
        <w:numPr>
          <w:ilvl w:val="0"/>
          <w:numId w:val="46"/>
        </w:numPr>
        <w:spacing w:before="120" w:after="120"/>
        <w:ind w:left="1134" w:hanging="425"/>
        <w:contextualSpacing w:val="0"/>
        <w:rPr>
          <w:rFonts w:eastAsia="Times New Roman"/>
          <w:lang w:eastAsia="en-AU"/>
        </w:rPr>
      </w:pPr>
      <w:r w:rsidRPr="00AB4BCA">
        <w:rPr>
          <w:rFonts w:eastAsia="Times New Roman"/>
          <w:lang w:eastAsia="en-AU"/>
        </w:rPr>
        <w:t>is not on remand or the subject of an outstanding appeal against their sentence or conviction</w:t>
      </w:r>
    </w:p>
    <w:p w14:paraId="22F8776B" w14:textId="77777777" w:rsidR="002B0FBA" w:rsidRPr="00AB4BCA" w:rsidRDefault="002B0FBA" w:rsidP="00835C6C">
      <w:pPr>
        <w:pStyle w:val="ListParagraph"/>
        <w:numPr>
          <w:ilvl w:val="0"/>
          <w:numId w:val="46"/>
        </w:numPr>
        <w:spacing w:before="120" w:after="120"/>
        <w:ind w:left="1134" w:hanging="425"/>
        <w:contextualSpacing w:val="0"/>
        <w:rPr>
          <w:rFonts w:eastAsia="Times New Roman"/>
          <w:lang w:eastAsia="en-AU"/>
        </w:rPr>
      </w:pPr>
      <w:r w:rsidRPr="00AB4BCA">
        <w:rPr>
          <w:rFonts w:eastAsia="Times New Roman"/>
          <w:lang w:eastAsia="en-AU"/>
        </w:rPr>
        <w:t>performance has been good and is assessed as highly likely to respond positively (in management and security) to the supervisory regimen at the lockup</w:t>
      </w:r>
    </w:p>
    <w:p w14:paraId="310A0027" w14:textId="77777777" w:rsidR="002B0FBA" w:rsidRPr="00AB4BCA" w:rsidRDefault="006634D0" w:rsidP="00835C6C">
      <w:pPr>
        <w:pStyle w:val="ListParagraph"/>
        <w:numPr>
          <w:ilvl w:val="0"/>
          <w:numId w:val="46"/>
        </w:numPr>
        <w:spacing w:before="120" w:after="120"/>
        <w:ind w:left="1134" w:hanging="425"/>
        <w:contextualSpacing w:val="0"/>
        <w:rPr>
          <w:rFonts w:eastAsia="Times New Roman"/>
          <w:lang w:eastAsia="en-AU"/>
        </w:rPr>
      </w:pPr>
      <w:r w:rsidRPr="00AB4BCA">
        <w:rPr>
          <w:rFonts w:eastAsia="Times New Roman"/>
          <w:lang w:eastAsia="en-AU"/>
        </w:rPr>
        <w:t>has completed</w:t>
      </w:r>
      <w:r w:rsidR="00CC1AE1">
        <w:rPr>
          <w:rFonts w:eastAsia="Times New Roman"/>
          <w:lang w:eastAsia="en-AU"/>
        </w:rPr>
        <w:t xml:space="preserve"> any identified treatment programs</w:t>
      </w:r>
    </w:p>
    <w:p w14:paraId="67B4A3CE" w14:textId="5F8EBB93" w:rsidR="002B0FBA" w:rsidRPr="00AB4BCA" w:rsidRDefault="00E3062F" w:rsidP="00835C6C">
      <w:pPr>
        <w:pStyle w:val="ListParagraph"/>
        <w:numPr>
          <w:ilvl w:val="0"/>
          <w:numId w:val="46"/>
        </w:numPr>
        <w:spacing w:before="120" w:after="120"/>
        <w:ind w:left="1134" w:hanging="425"/>
        <w:contextualSpacing w:val="0"/>
        <w:rPr>
          <w:rFonts w:eastAsia="Times New Roman"/>
          <w:lang w:eastAsia="en-AU"/>
        </w:rPr>
      </w:pPr>
      <w:r>
        <w:rPr>
          <w:rFonts w:eastAsia="Times New Roman"/>
          <w:lang w:eastAsia="en-AU"/>
        </w:rPr>
        <w:t xml:space="preserve">does not meet the definitions under section 16 (6) of the </w:t>
      </w:r>
      <w:r w:rsidRPr="008C71FC">
        <w:rPr>
          <w:rFonts w:eastAsia="Times New Roman"/>
          <w:i/>
          <w:iCs/>
          <w:lang w:eastAsia="en-AU"/>
        </w:rPr>
        <w:t>Prisons Act 1981</w:t>
      </w:r>
      <w:r>
        <w:rPr>
          <w:rFonts w:eastAsia="Times New Roman"/>
          <w:lang w:eastAsia="en-AU"/>
        </w:rPr>
        <w:t xml:space="preserve"> </w:t>
      </w:r>
      <w:r w:rsidR="00701313" w:rsidRPr="00AB4BCA">
        <w:rPr>
          <w:rStyle w:val="FootnoteReference"/>
          <w:rFonts w:eastAsia="Times New Roman"/>
          <w:lang w:eastAsia="en-AU"/>
        </w:rPr>
        <w:footnoteReference w:id="8"/>
      </w:r>
      <w:r w:rsidR="002B0FBA" w:rsidRPr="00AB4BCA">
        <w:rPr>
          <w:rFonts w:eastAsia="Times New Roman"/>
          <w:lang w:eastAsia="en-AU"/>
        </w:rPr>
        <w:t xml:space="preserve"> </w:t>
      </w:r>
    </w:p>
    <w:p w14:paraId="17FD10E9" w14:textId="77777777" w:rsidR="002B0FBA" w:rsidRDefault="002B0FBA" w:rsidP="00835C6C">
      <w:pPr>
        <w:pStyle w:val="ListParagraph"/>
        <w:numPr>
          <w:ilvl w:val="0"/>
          <w:numId w:val="46"/>
        </w:numPr>
        <w:spacing w:before="120" w:after="120"/>
        <w:ind w:left="1134" w:hanging="425"/>
        <w:contextualSpacing w:val="0"/>
        <w:rPr>
          <w:rFonts w:eastAsia="Times New Roman"/>
          <w:lang w:eastAsia="en-AU"/>
        </w:rPr>
      </w:pPr>
      <w:r w:rsidRPr="00AB4BCA">
        <w:rPr>
          <w:rFonts w:eastAsia="Times New Roman"/>
          <w:lang w:eastAsia="en-AU"/>
        </w:rPr>
        <w:t>does not have any medical conditions and/or requirements for medication that may impact on his/her placement at the lockup.</w:t>
      </w:r>
      <w:bookmarkEnd w:id="7"/>
    </w:p>
    <w:p w14:paraId="627E6833" w14:textId="5E66ED0D" w:rsidR="00380E16" w:rsidRDefault="000A4D8C" w:rsidP="00A46175">
      <w:pPr>
        <w:pStyle w:val="Heading3"/>
      </w:pPr>
      <w:r w:rsidRPr="00065A5C">
        <w:t>A</w:t>
      </w:r>
      <w:r w:rsidR="006634D0" w:rsidRPr="00065A5C">
        <w:t xml:space="preserve">n </w:t>
      </w:r>
      <w:hyperlink r:id="rId20" w:history="1">
        <w:r w:rsidR="00BF0FF1" w:rsidRPr="00A2041E">
          <w:rPr>
            <w:rStyle w:val="Hyperlink"/>
          </w:rPr>
          <w:t xml:space="preserve">Application for </w:t>
        </w:r>
        <w:r w:rsidR="00A2041E" w:rsidRPr="00A2041E">
          <w:rPr>
            <w:rStyle w:val="Hyperlink"/>
          </w:rPr>
          <w:t>T</w:t>
        </w:r>
        <w:r w:rsidR="00BF0FF1" w:rsidRPr="00A2041E">
          <w:rPr>
            <w:rStyle w:val="Hyperlink"/>
          </w:rPr>
          <w:t xml:space="preserve">emporary </w:t>
        </w:r>
        <w:r w:rsidR="00A2041E" w:rsidRPr="00A2041E">
          <w:rPr>
            <w:rStyle w:val="Hyperlink"/>
          </w:rPr>
          <w:t>P</w:t>
        </w:r>
        <w:r w:rsidR="00BF0FF1" w:rsidRPr="00A2041E">
          <w:rPr>
            <w:rStyle w:val="Hyperlink"/>
          </w:rPr>
          <w:t xml:space="preserve">lacement at </w:t>
        </w:r>
        <w:r w:rsidR="00A2041E" w:rsidRPr="00A2041E">
          <w:rPr>
            <w:rStyle w:val="Hyperlink"/>
          </w:rPr>
          <w:t>P</w:t>
        </w:r>
        <w:r w:rsidR="00BF0FF1" w:rsidRPr="00A2041E">
          <w:rPr>
            <w:rStyle w:val="Hyperlink"/>
          </w:rPr>
          <w:t xml:space="preserve">olice </w:t>
        </w:r>
        <w:r w:rsidR="00A2041E" w:rsidRPr="00A2041E">
          <w:rPr>
            <w:rStyle w:val="Hyperlink"/>
          </w:rPr>
          <w:t>L</w:t>
        </w:r>
        <w:r w:rsidR="00BF0FF1" w:rsidRPr="00A2041E">
          <w:rPr>
            <w:rStyle w:val="Hyperlink"/>
          </w:rPr>
          <w:t>ockups</w:t>
        </w:r>
      </w:hyperlink>
      <w:r w:rsidR="00BF0FF1" w:rsidRPr="00065A5C">
        <w:t xml:space="preserve"> </w:t>
      </w:r>
      <w:r w:rsidRPr="00065A5C">
        <w:t>shall be completed and signed by both the Superintendent and the Lockup Keeper.</w:t>
      </w:r>
    </w:p>
    <w:p w14:paraId="2DA0FA3E" w14:textId="77777777" w:rsidR="00D66F41" w:rsidRPr="00D66F41" w:rsidRDefault="00D66F41" w:rsidP="00D66F41"/>
    <w:p w14:paraId="26705727" w14:textId="77777777" w:rsidR="00065A5C" w:rsidRPr="00065A5C" w:rsidRDefault="000A4D8C" w:rsidP="00A46175">
      <w:pPr>
        <w:pStyle w:val="Heading3"/>
      </w:pPr>
      <w:r w:rsidRPr="00065A5C">
        <w:lastRenderedPageBreak/>
        <w:t>A prisoner, whose application is approved for placement in a lockup in excess of 3 months shall have:</w:t>
      </w:r>
    </w:p>
    <w:p w14:paraId="3ECC38DA" w14:textId="77777777" w:rsidR="000A4D8C" w:rsidRPr="00AB4BCA" w:rsidRDefault="000A4D8C" w:rsidP="00A46175">
      <w:pPr>
        <w:pStyle w:val="Heading3"/>
        <w:numPr>
          <w:ilvl w:val="0"/>
          <w:numId w:val="43"/>
        </w:numPr>
        <w:rPr>
          <w:lang w:eastAsia="en-AU"/>
        </w:rPr>
      </w:pPr>
      <w:r w:rsidRPr="00AB4BCA">
        <w:rPr>
          <w:lang w:eastAsia="en-AU"/>
        </w:rPr>
        <w:t>his/her placement reviewed at the completion of each 3 month period</w:t>
      </w:r>
      <w:r w:rsidRPr="00AB4BCA">
        <w:rPr>
          <w:rStyle w:val="FootnoteReference"/>
          <w:lang w:eastAsia="en-AU"/>
        </w:rPr>
        <w:footnoteReference w:id="9"/>
      </w:r>
      <w:r w:rsidRPr="00AB4BCA">
        <w:rPr>
          <w:lang w:eastAsia="en-AU"/>
        </w:rPr>
        <w:t xml:space="preserve"> </w:t>
      </w:r>
    </w:p>
    <w:p w14:paraId="3BADDA30" w14:textId="77777777" w:rsidR="000A4D8C" w:rsidRPr="00AB4BCA" w:rsidRDefault="00653434" w:rsidP="00A46175">
      <w:pPr>
        <w:pStyle w:val="Heading3"/>
        <w:numPr>
          <w:ilvl w:val="0"/>
          <w:numId w:val="43"/>
        </w:numPr>
        <w:rPr>
          <w:lang w:eastAsia="en-AU"/>
        </w:rPr>
      </w:pPr>
      <w:r>
        <w:rPr>
          <w:lang w:eastAsia="en-AU"/>
        </w:rPr>
        <w:t xml:space="preserve">a </w:t>
      </w:r>
      <w:r w:rsidR="000A4D8C" w:rsidRPr="00AB4BCA">
        <w:rPr>
          <w:lang w:eastAsia="en-AU"/>
        </w:rPr>
        <w:t>Lockup Pla</w:t>
      </w:r>
      <w:r w:rsidR="00BF0FF1">
        <w:rPr>
          <w:lang w:eastAsia="en-AU"/>
        </w:rPr>
        <w:t xml:space="preserve">cement </w:t>
      </w:r>
      <w:r w:rsidR="00A2041E">
        <w:rPr>
          <w:lang w:eastAsia="en-AU"/>
        </w:rPr>
        <w:t>r</w:t>
      </w:r>
      <w:r w:rsidR="00BF0FF1">
        <w:rPr>
          <w:lang w:eastAsia="en-AU"/>
        </w:rPr>
        <w:t>eview completed</w:t>
      </w:r>
      <w:r>
        <w:rPr>
          <w:lang w:eastAsia="en-AU"/>
        </w:rPr>
        <w:t xml:space="preserve"> (TOMS)</w:t>
      </w:r>
    </w:p>
    <w:p w14:paraId="179838DC" w14:textId="77777777" w:rsidR="000A4D8C" w:rsidRDefault="000A4D8C" w:rsidP="00A46175">
      <w:pPr>
        <w:pStyle w:val="Heading3"/>
        <w:numPr>
          <w:ilvl w:val="0"/>
          <w:numId w:val="43"/>
        </w:numPr>
        <w:rPr>
          <w:lang w:eastAsia="en-AU"/>
        </w:rPr>
      </w:pPr>
      <w:r w:rsidRPr="00AB4BCA">
        <w:rPr>
          <w:lang w:eastAsia="en-AU"/>
        </w:rPr>
        <w:t>a copy of the report forwarded to the Superintendent Administration.</w:t>
      </w:r>
    </w:p>
    <w:p w14:paraId="45CA0618" w14:textId="77777777" w:rsidR="00065A5C" w:rsidRPr="00065A5C" w:rsidRDefault="000A4D8C" w:rsidP="00A46175">
      <w:pPr>
        <w:pStyle w:val="Heading3"/>
        <w:rPr>
          <w:lang w:eastAsia="en-AU"/>
        </w:rPr>
      </w:pPr>
      <w:r w:rsidRPr="00AB4BCA">
        <w:rPr>
          <w:lang w:eastAsia="en-AU"/>
        </w:rPr>
        <w:t xml:space="preserve">The prisoner shall have his/her security rating reviewed as necessary in accordance with </w:t>
      </w:r>
      <w:hyperlink r:id="rId21" w:history="1">
        <w:r w:rsidRPr="000C18F5">
          <w:rPr>
            <w:rStyle w:val="Hyperlink"/>
            <w:lang w:eastAsia="en-AU"/>
          </w:rPr>
          <w:t xml:space="preserve">COPP 2.3 </w:t>
        </w:r>
        <w:r w:rsidR="00311D27" w:rsidRPr="000C18F5">
          <w:rPr>
            <w:rStyle w:val="Hyperlink"/>
            <w:rFonts w:eastAsia="Times New Roman"/>
            <w:lang w:eastAsia="en-AU"/>
          </w:rPr>
          <w:t xml:space="preserve">– </w:t>
        </w:r>
        <w:r w:rsidRPr="000C18F5">
          <w:rPr>
            <w:rStyle w:val="Hyperlink"/>
            <w:lang w:eastAsia="en-AU"/>
          </w:rPr>
          <w:t>Assessments, Placements and Sentence Management</w:t>
        </w:r>
      </w:hyperlink>
      <w:r w:rsidRPr="00AB4BCA">
        <w:rPr>
          <w:lang w:eastAsia="en-AU"/>
        </w:rPr>
        <w:t>.</w:t>
      </w:r>
    </w:p>
    <w:p w14:paraId="7258AD11" w14:textId="77777777" w:rsidR="000A4D8C" w:rsidRPr="00B35B9F" w:rsidRDefault="00653434" w:rsidP="004A61FA">
      <w:pPr>
        <w:pStyle w:val="Heading2"/>
      </w:pPr>
      <w:bookmarkStart w:id="8" w:name="_Toc371086948"/>
      <w:bookmarkStart w:id="9" w:name="_Toc140067670"/>
      <w:r>
        <w:t xml:space="preserve">Lockup placement </w:t>
      </w:r>
      <w:r w:rsidR="006A07B8">
        <w:t>prior to release</w:t>
      </w:r>
      <w:r w:rsidR="000A4D8C" w:rsidRPr="00B35B9F">
        <w:t xml:space="preserve"> or </w:t>
      </w:r>
      <w:r>
        <w:t>/</w:t>
      </w:r>
      <w:r w:rsidR="000A4D8C" w:rsidRPr="00B35B9F">
        <w:t>extenuating circumstances</w:t>
      </w:r>
      <w:bookmarkEnd w:id="8"/>
      <w:bookmarkEnd w:id="9"/>
    </w:p>
    <w:p w14:paraId="4EF46A06" w14:textId="77777777" w:rsidR="000A4D8C" w:rsidRPr="00541A19" w:rsidRDefault="000A4D8C" w:rsidP="00A46175">
      <w:pPr>
        <w:pStyle w:val="Heading3"/>
        <w:rPr>
          <w:lang w:eastAsia="en-AU"/>
        </w:rPr>
      </w:pPr>
      <w:r w:rsidRPr="00541A19">
        <w:rPr>
          <w:lang w:eastAsia="en-AU"/>
        </w:rPr>
        <w:t xml:space="preserve">The Superintendent may seek the approval of the Lockup Keeper for the placement of a prisoner in a lockup during the </w:t>
      </w:r>
      <w:r>
        <w:rPr>
          <w:lang w:eastAsia="en-AU"/>
        </w:rPr>
        <w:t>last 3</w:t>
      </w:r>
      <w:r w:rsidRPr="00541A19">
        <w:rPr>
          <w:lang w:eastAsia="en-AU"/>
        </w:rPr>
        <w:t xml:space="preserve"> weeks of the prisoner’s sentence to facilitate his/her release to his/her home</w:t>
      </w:r>
      <w:r>
        <w:rPr>
          <w:rStyle w:val="FootnoteReference"/>
          <w:lang w:eastAsia="en-AU"/>
        </w:rPr>
        <w:footnoteReference w:id="10"/>
      </w:r>
      <w:r w:rsidRPr="00541A19">
        <w:rPr>
          <w:lang w:eastAsia="en-AU"/>
        </w:rPr>
        <w:t>.</w:t>
      </w:r>
    </w:p>
    <w:p w14:paraId="119443F8" w14:textId="77777777" w:rsidR="000A4D8C" w:rsidRPr="00541A19" w:rsidRDefault="000A4D8C" w:rsidP="00A46175">
      <w:pPr>
        <w:pStyle w:val="Heading3"/>
        <w:rPr>
          <w:lang w:eastAsia="en-AU"/>
        </w:rPr>
      </w:pPr>
      <w:r w:rsidRPr="00541A19">
        <w:rPr>
          <w:lang w:eastAsia="en-AU"/>
        </w:rPr>
        <w:t xml:space="preserve">Applications based on special or extenuating circumstances outside the criteria may be approved by the </w:t>
      </w:r>
      <w:r w:rsidR="00293E3B">
        <w:rPr>
          <w:lang w:eastAsia="en-AU"/>
        </w:rPr>
        <w:t xml:space="preserve">relevant Assistant Commissioner </w:t>
      </w:r>
      <w:r>
        <w:rPr>
          <w:lang w:eastAsia="en-AU"/>
        </w:rPr>
        <w:t>and the following applies:</w:t>
      </w:r>
    </w:p>
    <w:p w14:paraId="00004821" w14:textId="77777777" w:rsidR="000A4D8C" w:rsidRDefault="000A4D8C" w:rsidP="00A46175">
      <w:pPr>
        <w:pStyle w:val="Heading3"/>
        <w:numPr>
          <w:ilvl w:val="0"/>
          <w:numId w:val="44"/>
        </w:numPr>
        <w:rPr>
          <w:lang w:eastAsia="en-AU"/>
        </w:rPr>
      </w:pPr>
      <w:r>
        <w:rPr>
          <w:lang w:eastAsia="en-AU"/>
        </w:rPr>
        <w:t>t</w:t>
      </w:r>
      <w:r w:rsidRPr="00541A19">
        <w:rPr>
          <w:lang w:eastAsia="en-AU"/>
        </w:rPr>
        <w:t>he Superintendent</w:t>
      </w:r>
      <w:r w:rsidR="00661263">
        <w:rPr>
          <w:lang w:eastAsia="en-AU"/>
        </w:rPr>
        <w:t>/OIC</w:t>
      </w:r>
      <w:r w:rsidRPr="00541A19">
        <w:rPr>
          <w:lang w:eastAsia="en-AU"/>
        </w:rPr>
        <w:t xml:space="preserve"> shall seek the approval of the Lockup Keeper for placement of the prisoner at the lockup for </w:t>
      </w:r>
      <w:r w:rsidR="006A07B8">
        <w:rPr>
          <w:lang w:eastAsia="en-AU"/>
        </w:rPr>
        <w:t>release</w:t>
      </w:r>
      <w:r w:rsidR="006A07B8" w:rsidRPr="00541A19">
        <w:rPr>
          <w:lang w:eastAsia="en-AU"/>
        </w:rPr>
        <w:t xml:space="preserve"> </w:t>
      </w:r>
      <w:r w:rsidRPr="00541A19">
        <w:rPr>
          <w:lang w:eastAsia="en-AU"/>
        </w:rPr>
        <w:t>or extenuating circumstances</w:t>
      </w:r>
      <w:r w:rsidR="00BF0FF1">
        <w:rPr>
          <w:lang w:eastAsia="en-AU"/>
        </w:rPr>
        <w:t>.</w:t>
      </w:r>
      <w:r w:rsidRPr="00541A19">
        <w:rPr>
          <w:lang w:eastAsia="en-AU"/>
        </w:rPr>
        <w:t xml:space="preserve"> </w:t>
      </w:r>
    </w:p>
    <w:p w14:paraId="25DBD4F5" w14:textId="77777777" w:rsidR="00A2635F" w:rsidRPr="00A2635F" w:rsidRDefault="000A4D8C" w:rsidP="00A46175">
      <w:pPr>
        <w:pStyle w:val="Heading3"/>
        <w:numPr>
          <w:ilvl w:val="0"/>
          <w:numId w:val="44"/>
        </w:numPr>
        <w:rPr>
          <w:lang w:eastAsia="en-AU"/>
        </w:rPr>
      </w:pPr>
      <w:r>
        <w:rPr>
          <w:lang w:eastAsia="en-AU"/>
        </w:rPr>
        <w:t>the</w:t>
      </w:r>
      <w:r w:rsidRPr="00541A19">
        <w:rPr>
          <w:lang w:eastAsia="en-AU"/>
        </w:rPr>
        <w:t xml:space="preserve"> Lockup Keeper shall confirm their approval in writing to the Superintendent by completing </w:t>
      </w:r>
      <w:r w:rsidRPr="001031E0">
        <w:t xml:space="preserve">the </w:t>
      </w:r>
      <w:hyperlink r:id="rId22" w:history="1">
        <w:r w:rsidR="00A2635F" w:rsidRPr="001335C0">
          <w:rPr>
            <w:rStyle w:val="Hyperlink"/>
            <w:lang w:eastAsia="en-AU"/>
          </w:rPr>
          <w:t xml:space="preserve">Application for </w:t>
        </w:r>
        <w:r w:rsidR="00065A5C" w:rsidRPr="001335C0">
          <w:rPr>
            <w:rStyle w:val="Hyperlink"/>
            <w:lang w:eastAsia="en-AU"/>
          </w:rPr>
          <w:t xml:space="preserve">Temporary Placement </w:t>
        </w:r>
        <w:r w:rsidR="00A2635F" w:rsidRPr="001335C0">
          <w:rPr>
            <w:rStyle w:val="Hyperlink"/>
            <w:lang w:eastAsia="en-AU"/>
          </w:rPr>
          <w:t xml:space="preserve">at </w:t>
        </w:r>
        <w:r w:rsidR="00065A5C" w:rsidRPr="001335C0">
          <w:rPr>
            <w:rStyle w:val="Hyperlink"/>
            <w:lang w:eastAsia="en-AU"/>
          </w:rPr>
          <w:t>Police Lockups</w:t>
        </w:r>
      </w:hyperlink>
      <w:r w:rsidR="00065A5C">
        <w:rPr>
          <w:lang w:eastAsia="en-AU"/>
        </w:rPr>
        <w:t xml:space="preserve"> </w:t>
      </w:r>
      <w:r w:rsidR="00344CDA">
        <w:rPr>
          <w:lang w:eastAsia="en-AU"/>
        </w:rPr>
        <w:t>form.</w:t>
      </w:r>
    </w:p>
    <w:p w14:paraId="7D8592F8" w14:textId="77777777" w:rsidR="00065A5C" w:rsidRPr="00065A5C" w:rsidRDefault="000A4D8C" w:rsidP="00A46175">
      <w:pPr>
        <w:pStyle w:val="Heading3"/>
        <w:numPr>
          <w:ilvl w:val="0"/>
          <w:numId w:val="44"/>
        </w:numPr>
        <w:rPr>
          <w:lang w:eastAsia="en-AU"/>
        </w:rPr>
      </w:pPr>
      <w:r w:rsidRPr="004D6882">
        <w:rPr>
          <w:lang w:eastAsia="en-AU"/>
        </w:rPr>
        <w:t>the Superintendent and the Lockup Keeper shall sign the completed form.</w:t>
      </w:r>
    </w:p>
    <w:p w14:paraId="0864252A" w14:textId="77777777" w:rsidR="00065A5C" w:rsidRPr="00065A5C" w:rsidRDefault="000A4D8C" w:rsidP="00A46175">
      <w:pPr>
        <w:pStyle w:val="Heading3"/>
        <w:rPr>
          <w:lang w:eastAsia="en-AU"/>
        </w:rPr>
      </w:pPr>
      <w:r w:rsidRPr="001031E0">
        <w:t>If the placement is based on extenuating circumstances</w:t>
      </w:r>
      <w:r w:rsidR="00567EDA" w:rsidRPr="001031E0">
        <w:t xml:space="preserve">, the </w:t>
      </w:r>
      <w:hyperlink r:id="rId23" w:history="1">
        <w:r w:rsidR="00BF0FF1" w:rsidRPr="001335C0">
          <w:rPr>
            <w:rStyle w:val="Hyperlink"/>
            <w:lang w:eastAsia="en-AU"/>
          </w:rPr>
          <w:t xml:space="preserve">Application for </w:t>
        </w:r>
        <w:r w:rsidR="00065A5C" w:rsidRPr="001335C0">
          <w:rPr>
            <w:rStyle w:val="Hyperlink"/>
            <w:lang w:eastAsia="en-AU"/>
          </w:rPr>
          <w:t xml:space="preserve">Temporary Placement </w:t>
        </w:r>
        <w:r w:rsidR="00BF0FF1" w:rsidRPr="001335C0">
          <w:rPr>
            <w:rStyle w:val="Hyperlink"/>
            <w:lang w:eastAsia="en-AU"/>
          </w:rPr>
          <w:t xml:space="preserve">at </w:t>
        </w:r>
        <w:r w:rsidR="00065A5C" w:rsidRPr="001335C0">
          <w:rPr>
            <w:rStyle w:val="Hyperlink"/>
            <w:lang w:eastAsia="en-AU"/>
          </w:rPr>
          <w:t>Police Lockups</w:t>
        </w:r>
      </w:hyperlink>
      <w:r w:rsidR="00065A5C">
        <w:rPr>
          <w:lang w:eastAsia="en-AU"/>
        </w:rPr>
        <w:t xml:space="preserve"> </w:t>
      </w:r>
      <w:r w:rsidR="00344CDA" w:rsidRPr="00344CDA">
        <w:rPr>
          <w:lang w:eastAsia="en-AU"/>
        </w:rPr>
        <w:t xml:space="preserve">shall be approved by the </w:t>
      </w:r>
      <w:r w:rsidR="00293E3B">
        <w:rPr>
          <w:lang w:eastAsia="en-AU"/>
        </w:rPr>
        <w:t>relevant Assistant Commissioner</w:t>
      </w:r>
      <w:r w:rsidR="00293E3B" w:rsidRPr="00344CDA">
        <w:rPr>
          <w:lang w:eastAsia="en-AU"/>
        </w:rPr>
        <w:t xml:space="preserve"> </w:t>
      </w:r>
      <w:r w:rsidR="00344CDA" w:rsidRPr="00344CDA">
        <w:rPr>
          <w:lang w:eastAsia="en-AU"/>
        </w:rPr>
        <w:t>prior to placement</w:t>
      </w:r>
      <w:r w:rsidRPr="00541A19">
        <w:rPr>
          <w:lang w:eastAsia="en-AU"/>
        </w:rPr>
        <w:t>.</w:t>
      </w:r>
    </w:p>
    <w:p w14:paraId="04F2737C" w14:textId="77777777" w:rsidR="00065A5C" w:rsidRPr="00065A5C" w:rsidRDefault="000A4D8C" w:rsidP="00A46175">
      <w:pPr>
        <w:pStyle w:val="Heading3"/>
      </w:pPr>
      <w:r w:rsidRPr="00065A5C">
        <w:t xml:space="preserve">The Superintendent </w:t>
      </w:r>
      <w:r w:rsidR="00065A5C">
        <w:t>shal</w:t>
      </w:r>
      <w:r w:rsidR="00065A5C" w:rsidRPr="00065A5C">
        <w:t xml:space="preserve">l </w:t>
      </w:r>
      <w:r w:rsidRPr="00065A5C">
        <w:t xml:space="preserve">arrange for the prisoner’s transfer </w:t>
      </w:r>
      <w:r w:rsidR="006A07B8">
        <w:t xml:space="preserve">for the purpose of release or due to </w:t>
      </w:r>
      <w:r w:rsidRPr="00065A5C">
        <w:t>extenuating circumstances</w:t>
      </w:r>
      <w:r w:rsidR="006A07B8">
        <w:t>,</w:t>
      </w:r>
      <w:r w:rsidR="00835C6C">
        <w:t xml:space="preserve"> </w:t>
      </w:r>
      <w:r w:rsidRPr="00065A5C">
        <w:t xml:space="preserve">when the prisoner enters the last 3 weeks of their sentence. </w:t>
      </w:r>
    </w:p>
    <w:p w14:paraId="64450A80" w14:textId="77777777" w:rsidR="00835C6C" w:rsidRPr="00835C6C" w:rsidRDefault="000A4D8C" w:rsidP="00A46175">
      <w:pPr>
        <w:pStyle w:val="Heading3"/>
      </w:pPr>
      <w:r w:rsidRPr="00065A5C">
        <w:t>Any application by the prisoner for early discharge must be finalised before the prisoner is placed at the lockup.</w:t>
      </w:r>
    </w:p>
    <w:p w14:paraId="47B0C204" w14:textId="77777777" w:rsidR="007D61F3" w:rsidRDefault="007D61F3" w:rsidP="004A61FA">
      <w:pPr>
        <w:pStyle w:val="Heading2"/>
      </w:pPr>
      <w:bookmarkStart w:id="10" w:name="_Toc140067671"/>
      <w:r w:rsidRPr="00B35B9F">
        <w:t>Inspection of lockups</w:t>
      </w:r>
      <w:bookmarkEnd w:id="10"/>
    </w:p>
    <w:p w14:paraId="630FF469" w14:textId="77777777" w:rsidR="00577044" w:rsidRDefault="007D61F3" w:rsidP="00A46175">
      <w:pPr>
        <w:pStyle w:val="Heading3"/>
        <w:rPr>
          <w:lang w:eastAsia="en-AU"/>
        </w:rPr>
      </w:pPr>
      <w:r w:rsidRPr="00541A19">
        <w:rPr>
          <w:lang w:eastAsia="en-AU"/>
        </w:rPr>
        <w:t xml:space="preserve">Superintendents, as specified in the </w:t>
      </w:r>
      <w:hyperlink w:anchor="_Appendix_A:_Schedule" w:history="1">
        <w:r w:rsidRPr="000C18F5">
          <w:rPr>
            <w:rStyle w:val="Hyperlink"/>
            <w:lang w:eastAsia="en-AU"/>
          </w:rPr>
          <w:t xml:space="preserve">Appendix </w:t>
        </w:r>
        <w:r w:rsidR="00835C6C" w:rsidRPr="000C18F5">
          <w:rPr>
            <w:rStyle w:val="Hyperlink"/>
            <w:lang w:eastAsia="en-AU"/>
          </w:rPr>
          <w:t>A</w:t>
        </w:r>
        <w:r w:rsidRPr="000C18F5">
          <w:rPr>
            <w:rStyle w:val="Hyperlink"/>
            <w:lang w:eastAsia="en-AU"/>
          </w:rPr>
          <w:t xml:space="preserve">: Schedule of </w:t>
        </w:r>
        <w:r w:rsidR="00835C6C" w:rsidRPr="000C18F5">
          <w:rPr>
            <w:rStyle w:val="Hyperlink"/>
            <w:lang w:eastAsia="en-AU"/>
          </w:rPr>
          <w:t xml:space="preserve">WA </w:t>
        </w:r>
        <w:r w:rsidRPr="000C18F5">
          <w:rPr>
            <w:rStyle w:val="Hyperlink"/>
            <w:lang w:eastAsia="en-AU"/>
          </w:rPr>
          <w:t xml:space="preserve">Police </w:t>
        </w:r>
        <w:r w:rsidR="009F2701" w:rsidRPr="000C18F5">
          <w:rPr>
            <w:rStyle w:val="Hyperlink"/>
            <w:lang w:eastAsia="en-AU"/>
          </w:rPr>
          <w:t>Lockups</w:t>
        </w:r>
      </w:hyperlink>
      <w:r w:rsidR="009F2701" w:rsidRPr="001031E0">
        <w:t>,</w:t>
      </w:r>
      <w:r w:rsidRPr="00541A19">
        <w:rPr>
          <w:lang w:eastAsia="en-AU"/>
        </w:rPr>
        <w:t xml:space="preserve"> have responsibility over lockups used for prisoner placement and are required to visit each lockup once every financial year.</w:t>
      </w:r>
    </w:p>
    <w:p w14:paraId="76203BA1" w14:textId="77777777" w:rsidR="00835C6C" w:rsidRPr="00835C6C" w:rsidRDefault="00835C6C" w:rsidP="00835C6C">
      <w:pPr>
        <w:rPr>
          <w:lang w:eastAsia="en-AU"/>
        </w:rPr>
      </w:pPr>
    </w:p>
    <w:p w14:paraId="4D9C875F" w14:textId="77777777" w:rsidR="007D61F3" w:rsidRDefault="009F2701" w:rsidP="004A61FA">
      <w:pPr>
        <w:pStyle w:val="Heading3"/>
        <w:rPr>
          <w:lang w:eastAsia="en-AU"/>
        </w:rPr>
      </w:pPr>
      <w:r w:rsidRPr="008E2FA9">
        <w:rPr>
          <w:lang w:eastAsia="en-AU"/>
        </w:rPr>
        <w:lastRenderedPageBreak/>
        <w:t xml:space="preserve">A </w:t>
      </w:r>
      <w:hyperlink r:id="rId24" w:history="1">
        <w:r w:rsidR="00694A6C" w:rsidRPr="00694A6C">
          <w:rPr>
            <w:rStyle w:val="Hyperlink"/>
            <w:lang w:eastAsia="en-AU"/>
          </w:rPr>
          <w:t>L</w:t>
        </w:r>
        <w:r w:rsidR="005F6DA9" w:rsidRPr="00694A6C">
          <w:rPr>
            <w:rStyle w:val="Hyperlink"/>
            <w:lang w:eastAsia="en-AU"/>
          </w:rPr>
          <w:t xml:space="preserve">ockup </w:t>
        </w:r>
        <w:r w:rsidR="00694A6C" w:rsidRPr="00694A6C">
          <w:rPr>
            <w:rStyle w:val="Hyperlink"/>
            <w:lang w:eastAsia="en-AU"/>
          </w:rPr>
          <w:t>R</w:t>
        </w:r>
        <w:r w:rsidR="005F6DA9" w:rsidRPr="00694A6C">
          <w:rPr>
            <w:rStyle w:val="Hyperlink"/>
            <w:lang w:eastAsia="en-AU"/>
          </w:rPr>
          <w:t>eport</w:t>
        </w:r>
      </w:hyperlink>
      <w:r w:rsidR="005F6DA9" w:rsidRPr="001031E0">
        <w:t xml:space="preserve"> </w:t>
      </w:r>
      <w:r w:rsidR="007D61F3" w:rsidRPr="001031E0">
        <w:t xml:space="preserve">is to be </w:t>
      </w:r>
      <w:r w:rsidR="007D61F3" w:rsidRPr="00541A19">
        <w:rPr>
          <w:lang w:eastAsia="en-AU"/>
        </w:rPr>
        <w:t xml:space="preserve">completed on each visit and shall be forwarded to the </w:t>
      </w:r>
      <w:r w:rsidR="00293E3B">
        <w:rPr>
          <w:lang w:eastAsia="en-AU"/>
        </w:rPr>
        <w:t>relevant Assistant Commissioner</w:t>
      </w:r>
      <w:r w:rsidR="00835C6C">
        <w:rPr>
          <w:lang w:eastAsia="en-AU"/>
        </w:rPr>
        <w:t xml:space="preserve"> </w:t>
      </w:r>
      <w:r w:rsidR="007D61F3" w:rsidRPr="00541A19">
        <w:rPr>
          <w:lang w:eastAsia="en-AU"/>
        </w:rPr>
        <w:t>via the Superintendent Administration advising of the lockups’ continued suitability, or otherwise, for prisoner placement</w:t>
      </w:r>
      <w:r w:rsidR="007D61F3">
        <w:rPr>
          <w:rStyle w:val="FootnoteReference"/>
          <w:lang w:eastAsia="en-AU"/>
        </w:rPr>
        <w:footnoteReference w:id="11"/>
      </w:r>
      <w:r w:rsidR="007D61F3" w:rsidRPr="00541A19">
        <w:rPr>
          <w:lang w:eastAsia="en-AU"/>
        </w:rPr>
        <w:t>.</w:t>
      </w:r>
    </w:p>
    <w:p w14:paraId="09023955" w14:textId="77777777" w:rsidR="00380E16" w:rsidRDefault="00380E16" w:rsidP="00A46175">
      <w:pPr>
        <w:pStyle w:val="Heading3"/>
        <w:rPr>
          <w:lang w:eastAsia="en-AU"/>
        </w:rPr>
      </w:pPr>
      <w:r w:rsidRPr="00541A19">
        <w:rPr>
          <w:lang w:eastAsia="en-AU"/>
        </w:rPr>
        <w:t xml:space="preserve">The Superintendent </w:t>
      </w:r>
      <w:r>
        <w:rPr>
          <w:lang w:eastAsia="en-AU"/>
        </w:rPr>
        <w:t>shall</w:t>
      </w:r>
      <w:r w:rsidRPr="00541A19">
        <w:rPr>
          <w:lang w:eastAsia="en-AU"/>
        </w:rPr>
        <w:t xml:space="preserve"> send a copy of the </w:t>
      </w:r>
      <w:r w:rsidRPr="001031E0">
        <w:t xml:space="preserve">completed </w:t>
      </w:r>
      <w:hyperlink r:id="rId25" w:history="1">
        <w:r w:rsidR="001335C0" w:rsidRPr="001335C0">
          <w:rPr>
            <w:rStyle w:val="Hyperlink"/>
            <w:lang w:eastAsia="en-AU"/>
          </w:rPr>
          <w:t>Lockup Report</w:t>
        </w:r>
      </w:hyperlink>
      <w:r w:rsidR="001335C0" w:rsidRPr="001031E0">
        <w:t xml:space="preserve"> </w:t>
      </w:r>
      <w:r w:rsidRPr="001031E0">
        <w:t xml:space="preserve">to the </w:t>
      </w:r>
      <w:r w:rsidRPr="00541A19">
        <w:rPr>
          <w:lang w:eastAsia="en-AU"/>
        </w:rPr>
        <w:t xml:space="preserve">Regional Superintendent of </w:t>
      </w:r>
      <w:r>
        <w:rPr>
          <w:lang w:eastAsia="en-AU"/>
        </w:rPr>
        <w:t xml:space="preserve">WA </w:t>
      </w:r>
      <w:r w:rsidRPr="00541A19">
        <w:rPr>
          <w:lang w:eastAsia="en-AU"/>
        </w:rPr>
        <w:t>Police</w:t>
      </w:r>
      <w:r>
        <w:rPr>
          <w:lang w:eastAsia="en-AU"/>
        </w:rPr>
        <w:t xml:space="preserve"> Force</w:t>
      </w:r>
      <w:r w:rsidRPr="00541A19">
        <w:rPr>
          <w:lang w:eastAsia="en-AU"/>
        </w:rPr>
        <w:t xml:space="preserve"> and to the Lockup Keeper.</w:t>
      </w:r>
    </w:p>
    <w:p w14:paraId="355E21FC" w14:textId="77777777" w:rsidR="00A46175" w:rsidRDefault="00A46175">
      <w:pPr>
        <w:rPr>
          <w:lang w:eastAsia="en-AU"/>
        </w:rPr>
      </w:pPr>
      <w:r>
        <w:rPr>
          <w:b/>
          <w:bCs/>
          <w:lang w:eastAsia="en-AU"/>
        </w:rPr>
        <w:br w:type="page"/>
      </w:r>
    </w:p>
    <w:p w14:paraId="774A8B8C" w14:textId="77777777" w:rsidR="002D0E3F" w:rsidRDefault="002D0E3F" w:rsidP="00A46175">
      <w:pPr>
        <w:pStyle w:val="Heading1"/>
      </w:pPr>
      <w:bookmarkStart w:id="11" w:name="_Toc140067672"/>
      <w:r>
        <w:lastRenderedPageBreak/>
        <w:t>Annexures</w:t>
      </w:r>
      <w:bookmarkEnd w:id="11"/>
    </w:p>
    <w:p w14:paraId="01D8733F" w14:textId="77777777" w:rsidR="002D0E3F" w:rsidRDefault="002D0E3F" w:rsidP="00A46175">
      <w:pPr>
        <w:pStyle w:val="Heading2"/>
      </w:pPr>
      <w:bookmarkStart w:id="12" w:name="_Toc140067673"/>
      <w:r w:rsidRPr="002D0E3F">
        <w:t xml:space="preserve">Related </w:t>
      </w:r>
      <w:r w:rsidR="00757BEC" w:rsidRPr="002D0E3F">
        <w:t>COPP</w:t>
      </w:r>
      <w:r w:rsidR="00757BEC">
        <w:t xml:space="preserve">s </w:t>
      </w:r>
      <w:r w:rsidR="000E684A">
        <w:t>and other documents</w:t>
      </w:r>
      <w:bookmarkEnd w:id="12"/>
    </w:p>
    <w:p w14:paraId="67C9F540" w14:textId="77777777" w:rsidR="000E684A" w:rsidRPr="00A46175" w:rsidRDefault="000E684A" w:rsidP="00A46175">
      <w:pPr>
        <w:rPr>
          <w:b/>
          <w:bCs/>
        </w:rPr>
      </w:pPr>
      <w:r w:rsidRPr="00A46175">
        <w:rPr>
          <w:b/>
          <w:bCs/>
        </w:rPr>
        <w:t>Related COPPS</w:t>
      </w:r>
    </w:p>
    <w:p w14:paraId="49D28F63" w14:textId="77777777" w:rsidR="002D0E3F" w:rsidRPr="00311D27" w:rsidRDefault="001A0C6D" w:rsidP="000E684A">
      <w:pPr>
        <w:pStyle w:val="ListParagraph"/>
        <w:numPr>
          <w:ilvl w:val="0"/>
          <w:numId w:val="40"/>
        </w:numPr>
        <w:spacing w:before="120" w:after="120"/>
        <w:ind w:left="714" w:hanging="357"/>
        <w:contextualSpacing w:val="0"/>
        <w:rPr>
          <w:rFonts w:eastAsia="Times New Roman"/>
          <w:color w:val="0000FF"/>
          <w:u w:val="single"/>
          <w:lang w:eastAsia="en-AU"/>
        </w:rPr>
      </w:pPr>
      <w:hyperlink r:id="rId26" w:history="1">
        <w:r w:rsidR="002D0E3F" w:rsidRPr="001335C0">
          <w:rPr>
            <w:rStyle w:val="Hyperlink"/>
            <w:rFonts w:eastAsia="Times New Roman"/>
            <w:lang w:eastAsia="en-AU"/>
          </w:rPr>
          <w:t xml:space="preserve">COPP 2.3 </w:t>
        </w:r>
        <w:r w:rsidR="00311D27" w:rsidRPr="001335C0">
          <w:rPr>
            <w:rStyle w:val="Hyperlink"/>
            <w:rFonts w:eastAsia="Times New Roman"/>
            <w:lang w:eastAsia="en-AU"/>
          </w:rPr>
          <w:t xml:space="preserve">– </w:t>
        </w:r>
        <w:r w:rsidR="002D0E3F" w:rsidRPr="001335C0">
          <w:rPr>
            <w:rStyle w:val="Hyperlink"/>
            <w:rFonts w:eastAsia="Times New Roman"/>
            <w:lang w:eastAsia="en-AU"/>
          </w:rPr>
          <w:t>Assessments, Placements and Sentence Management</w:t>
        </w:r>
      </w:hyperlink>
    </w:p>
    <w:p w14:paraId="2DD3B277" w14:textId="77777777" w:rsidR="002D0E3F" w:rsidRPr="00311D27" w:rsidRDefault="001A0C6D" w:rsidP="000E684A">
      <w:pPr>
        <w:pStyle w:val="ListParagraph"/>
        <w:numPr>
          <w:ilvl w:val="0"/>
          <w:numId w:val="40"/>
        </w:numPr>
        <w:spacing w:before="120" w:after="120"/>
        <w:ind w:left="714" w:hanging="357"/>
        <w:contextualSpacing w:val="0"/>
        <w:rPr>
          <w:rFonts w:eastAsia="Times New Roman"/>
          <w:color w:val="0000FF"/>
          <w:u w:val="single"/>
          <w:lang w:eastAsia="en-AU"/>
        </w:rPr>
      </w:pPr>
      <w:hyperlink r:id="rId27" w:history="1">
        <w:r w:rsidR="002D0E3F" w:rsidRPr="001335C0">
          <w:rPr>
            <w:rStyle w:val="Hyperlink"/>
            <w:rFonts w:eastAsia="Times New Roman"/>
            <w:lang w:eastAsia="en-AU"/>
          </w:rPr>
          <w:t xml:space="preserve">COPP 13.1 </w:t>
        </w:r>
        <w:r w:rsidR="00311D27" w:rsidRPr="001335C0">
          <w:rPr>
            <w:rStyle w:val="Hyperlink"/>
            <w:rFonts w:eastAsia="Times New Roman"/>
            <w:lang w:eastAsia="en-AU"/>
          </w:rPr>
          <w:t>–</w:t>
        </w:r>
        <w:r w:rsidR="00566347" w:rsidRPr="001335C0">
          <w:rPr>
            <w:rStyle w:val="Hyperlink"/>
            <w:rFonts w:eastAsia="Times New Roman"/>
            <w:lang w:eastAsia="en-AU"/>
          </w:rPr>
          <w:t xml:space="preserve"> </w:t>
        </w:r>
        <w:r w:rsidR="002D0E3F" w:rsidRPr="001335C0">
          <w:rPr>
            <w:rStyle w:val="Hyperlink"/>
            <w:rFonts w:eastAsia="Times New Roman"/>
            <w:lang w:eastAsia="en-AU"/>
          </w:rPr>
          <w:t xml:space="preserve">Incident </w:t>
        </w:r>
        <w:r w:rsidR="00566347" w:rsidRPr="001335C0">
          <w:rPr>
            <w:rStyle w:val="Hyperlink"/>
            <w:rFonts w:eastAsia="Times New Roman"/>
            <w:lang w:eastAsia="en-AU"/>
          </w:rPr>
          <w:t>Notifications, Reporting and Communication</w:t>
        </w:r>
      </w:hyperlink>
    </w:p>
    <w:p w14:paraId="2D724F7B" w14:textId="77777777" w:rsidR="002D0E3F" w:rsidRPr="00311D27" w:rsidRDefault="001A0C6D" w:rsidP="000E684A">
      <w:pPr>
        <w:pStyle w:val="ListParagraph"/>
        <w:numPr>
          <w:ilvl w:val="0"/>
          <w:numId w:val="40"/>
        </w:numPr>
        <w:spacing w:before="120" w:after="120"/>
        <w:ind w:left="714" w:hanging="357"/>
        <w:contextualSpacing w:val="0"/>
        <w:rPr>
          <w:rFonts w:eastAsia="Times New Roman"/>
          <w:color w:val="0000FF"/>
          <w:u w:val="single"/>
          <w:lang w:eastAsia="en-AU"/>
        </w:rPr>
      </w:pPr>
      <w:hyperlink r:id="rId28" w:history="1">
        <w:r w:rsidR="002D0E3F" w:rsidRPr="001335C0">
          <w:rPr>
            <w:rStyle w:val="Hyperlink"/>
            <w:rFonts w:eastAsia="Times New Roman"/>
            <w:lang w:eastAsia="en-AU"/>
          </w:rPr>
          <w:t>COPP 14.</w:t>
        </w:r>
        <w:r w:rsidR="005F6DA9" w:rsidRPr="001335C0">
          <w:rPr>
            <w:rStyle w:val="Hyperlink"/>
            <w:rFonts w:eastAsia="Times New Roman"/>
            <w:lang w:eastAsia="en-AU"/>
          </w:rPr>
          <w:t xml:space="preserve">6 </w:t>
        </w:r>
        <w:r w:rsidR="00311D27" w:rsidRPr="001335C0">
          <w:rPr>
            <w:rStyle w:val="Hyperlink"/>
            <w:rFonts w:eastAsia="Times New Roman"/>
            <w:lang w:eastAsia="en-AU"/>
          </w:rPr>
          <w:t>–</w:t>
        </w:r>
        <w:r w:rsidR="000E684A">
          <w:rPr>
            <w:rStyle w:val="Hyperlink"/>
            <w:rFonts w:eastAsia="Times New Roman"/>
            <w:lang w:eastAsia="en-AU"/>
          </w:rPr>
          <w:t xml:space="preserve"> </w:t>
        </w:r>
        <w:r w:rsidR="001376FC" w:rsidRPr="001335C0">
          <w:rPr>
            <w:rStyle w:val="Hyperlink"/>
            <w:rFonts w:eastAsia="Times New Roman"/>
            <w:lang w:eastAsia="en-AU"/>
          </w:rPr>
          <w:t>Prisoners Released from Custody</w:t>
        </w:r>
      </w:hyperlink>
    </w:p>
    <w:p w14:paraId="155FE9C4" w14:textId="77777777" w:rsidR="003D708E" w:rsidRPr="003D708E" w:rsidRDefault="003D708E" w:rsidP="00A46175">
      <w:pPr>
        <w:pStyle w:val="Heading2"/>
      </w:pPr>
      <w:bookmarkStart w:id="13" w:name="_Toc140067674"/>
      <w:r>
        <w:t>Definitions and acronyms</w:t>
      </w:r>
      <w:bookmarkEnd w:id="13"/>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3D708E" w:rsidRPr="000E6F0A" w14:paraId="47599529" w14:textId="77777777" w:rsidTr="003D3E3F">
        <w:trPr>
          <w:cnfStyle w:val="100000000000" w:firstRow="1" w:lastRow="0" w:firstColumn="0" w:lastColumn="0" w:oddVBand="0" w:evenVBand="0" w:oddHBand="0" w:evenHBand="0" w:firstRowFirstColumn="0" w:firstRowLastColumn="0" w:lastRowFirstColumn="0" w:lastRowLastColumn="0"/>
        </w:trPr>
        <w:tc>
          <w:tcPr>
            <w:tcW w:w="2116" w:type="dxa"/>
          </w:tcPr>
          <w:p w14:paraId="1B97D401" w14:textId="77777777" w:rsidR="003D708E" w:rsidRPr="00CF6125" w:rsidRDefault="003D708E" w:rsidP="00DF778C">
            <w:pPr>
              <w:pStyle w:val="Tableheading"/>
            </w:pPr>
            <w:r>
              <w:t>Term</w:t>
            </w:r>
          </w:p>
        </w:tc>
        <w:tc>
          <w:tcPr>
            <w:tcW w:w="7052" w:type="dxa"/>
          </w:tcPr>
          <w:p w14:paraId="2AACEF00" w14:textId="77777777" w:rsidR="003D708E" w:rsidRPr="00CF6125" w:rsidRDefault="003D708E" w:rsidP="00DF778C">
            <w:pPr>
              <w:pStyle w:val="Tableheading"/>
            </w:pPr>
            <w:r>
              <w:t xml:space="preserve">Definition </w:t>
            </w:r>
          </w:p>
        </w:tc>
      </w:tr>
      <w:tr w:rsidR="00AA3117" w:rsidRPr="000E6F0A" w14:paraId="40F793BA" w14:textId="77777777" w:rsidTr="003D3E3F">
        <w:tc>
          <w:tcPr>
            <w:tcW w:w="2116" w:type="dxa"/>
          </w:tcPr>
          <w:p w14:paraId="52BC2EA5" w14:textId="77777777" w:rsidR="00AA3117" w:rsidRDefault="00AA3117" w:rsidP="00DF778C">
            <w:pPr>
              <w:pStyle w:val="Tabledata"/>
            </w:pPr>
            <w:r>
              <w:t>A</w:t>
            </w:r>
            <w:r w:rsidR="006B4BE7">
              <w:t xml:space="preserve">ssessment </w:t>
            </w:r>
            <w:r w:rsidR="00A46175">
              <w:t>and</w:t>
            </w:r>
            <w:r w:rsidR="006B4BE7">
              <w:t xml:space="preserve"> </w:t>
            </w:r>
            <w:r>
              <w:t>C</w:t>
            </w:r>
            <w:r w:rsidR="006B4BE7">
              <w:t xml:space="preserve">ase </w:t>
            </w:r>
            <w:r>
              <w:t>M</w:t>
            </w:r>
            <w:r w:rsidR="006B4BE7">
              <w:t>anagement (ACM)</w:t>
            </w:r>
          </w:p>
        </w:tc>
        <w:tc>
          <w:tcPr>
            <w:tcW w:w="7052" w:type="dxa"/>
          </w:tcPr>
          <w:p w14:paraId="1856473C" w14:textId="77777777" w:rsidR="00AA3117" w:rsidRDefault="00AA3117" w:rsidP="00DF778C">
            <w:pPr>
              <w:pStyle w:val="Tabledata"/>
            </w:pPr>
            <w:r>
              <w:t xml:space="preserve">An electronically managed system to support the assessment, classification and case management of </w:t>
            </w:r>
            <w:r w:rsidR="002F7E2E">
              <w:t>prisoners</w:t>
            </w:r>
          </w:p>
        </w:tc>
      </w:tr>
      <w:tr w:rsidR="003D3E3F" w:rsidRPr="000E6F0A" w14:paraId="32196896" w14:textId="77777777" w:rsidTr="003D3E3F">
        <w:tc>
          <w:tcPr>
            <w:tcW w:w="2116" w:type="dxa"/>
          </w:tcPr>
          <w:p w14:paraId="74EB129F" w14:textId="77777777" w:rsidR="003D3E3F" w:rsidRPr="005435AD" w:rsidRDefault="003D3E3F" w:rsidP="00311D27">
            <w:pPr>
              <w:pStyle w:val="Tabledata"/>
              <w:rPr>
                <w:b/>
              </w:rPr>
            </w:pPr>
            <w:r>
              <w:t>Commissioner’s Operati</w:t>
            </w:r>
            <w:r w:rsidR="00311D27">
              <w:t xml:space="preserve">ng </w:t>
            </w:r>
            <w:r>
              <w:t>Policy and Procedures (COPP)</w:t>
            </w:r>
          </w:p>
        </w:tc>
        <w:tc>
          <w:tcPr>
            <w:tcW w:w="7052" w:type="dxa"/>
          </w:tcPr>
          <w:p w14:paraId="7936459C" w14:textId="77777777" w:rsidR="003D3E3F" w:rsidRPr="00344FBE" w:rsidRDefault="00757BEC" w:rsidP="003D3E3F">
            <w:pPr>
              <w:pStyle w:val="Tabledata"/>
            </w:pPr>
            <w:r w:rsidRPr="00DB0114">
              <w:rPr>
                <w:rFonts w:cs="Arial"/>
              </w:rPr>
              <w:t>COPPs are policy documents that provide instructions to staff as to how the relevant legislative requirements are implemented.</w:t>
            </w:r>
          </w:p>
        </w:tc>
      </w:tr>
      <w:tr w:rsidR="005F6DA9" w:rsidRPr="000E6F0A" w14:paraId="629305B9" w14:textId="77777777" w:rsidTr="00835C6C">
        <w:tc>
          <w:tcPr>
            <w:tcW w:w="2116" w:type="dxa"/>
            <w:shd w:val="clear" w:color="auto" w:fill="FFFFFF" w:themeFill="background1"/>
          </w:tcPr>
          <w:p w14:paraId="13CE0029" w14:textId="77777777" w:rsidR="005F6DA9" w:rsidRDefault="005F6DA9" w:rsidP="005F6DA9">
            <w:pPr>
              <w:pStyle w:val="Tabledata"/>
            </w:pPr>
            <w:r w:rsidRPr="00E379B8">
              <w:rPr>
                <w:rFonts w:cs="Arial"/>
              </w:rPr>
              <w:t xml:space="preserve">Guiding Principles for Corrections in Australia, 2018 </w:t>
            </w:r>
          </w:p>
        </w:tc>
        <w:tc>
          <w:tcPr>
            <w:tcW w:w="7052" w:type="dxa"/>
            <w:shd w:val="clear" w:color="auto" w:fill="FFFFFF" w:themeFill="background1"/>
          </w:tcPr>
          <w:p w14:paraId="60E8EB2D" w14:textId="77777777" w:rsidR="005F6DA9" w:rsidRPr="00DB0114" w:rsidRDefault="005F6DA9" w:rsidP="005F6DA9">
            <w:pPr>
              <w:pStyle w:val="Tabledata"/>
              <w:rPr>
                <w:rFonts w:cs="Arial"/>
              </w:rPr>
            </w:pPr>
            <w:r w:rsidRPr="00E379B8">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F6DA9" w:rsidRPr="000E6F0A" w14:paraId="108E56E1" w14:textId="77777777" w:rsidTr="00835C6C">
        <w:tc>
          <w:tcPr>
            <w:tcW w:w="2116" w:type="dxa"/>
            <w:shd w:val="clear" w:color="auto" w:fill="FFFFFF" w:themeFill="background1"/>
          </w:tcPr>
          <w:p w14:paraId="3D4F6505" w14:textId="77777777" w:rsidR="005F6DA9" w:rsidRDefault="005F6DA9" w:rsidP="005F6DA9">
            <w:pPr>
              <w:pStyle w:val="Tabledata"/>
            </w:pPr>
            <w:r w:rsidRPr="00B42B2A">
              <w:rPr>
                <w:rFonts w:cs="Arial"/>
                <w:bCs/>
              </w:rPr>
              <w:t>Individual Management Plan (IMP)</w:t>
            </w:r>
          </w:p>
        </w:tc>
        <w:tc>
          <w:tcPr>
            <w:tcW w:w="7052" w:type="dxa"/>
            <w:shd w:val="clear" w:color="auto" w:fill="FFFFFF" w:themeFill="background1"/>
          </w:tcPr>
          <w:p w14:paraId="29E3505A" w14:textId="77777777" w:rsidR="005F6DA9" w:rsidRPr="00DB0114" w:rsidRDefault="005F6DA9" w:rsidP="005F6DA9">
            <w:pPr>
              <w:pStyle w:val="Tabledata"/>
              <w:rPr>
                <w:rFonts w:cs="Arial"/>
              </w:rPr>
            </w:pPr>
            <w:r w:rsidRPr="00B42B2A">
              <w:rPr>
                <w:rFonts w:cs="Arial"/>
              </w:rPr>
              <w:t>The approved plan developed in consultation with treatment and education assessors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5F6DA9" w14:paraId="26ADC9E6" w14:textId="77777777" w:rsidTr="003D3E3F">
        <w:tc>
          <w:tcPr>
            <w:tcW w:w="2116" w:type="dxa"/>
          </w:tcPr>
          <w:p w14:paraId="3FA7A279" w14:textId="77777777" w:rsidR="005F6DA9" w:rsidRPr="00AA3117" w:rsidRDefault="005F6DA9" w:rsidP="005F6DA9">
            <w:pPr>
              <w:pStyle w:val="Tabledata"/>
            </w:pPr>
            <w:r w:rsidRPr="00AA3117">
              <w:t>Lockup Keeper</w:t>
            </w:r>
          </w:p>
        </w:tc>
        <w:tc>
          <w:tcPr>
            <w:tcW w:w="7052" w:type="dxa"/>
          </w:tcPr>
          <w:p w14:paraId="1D10C04B" w14:textId="77777777" w:rsidR="005F6DA9" w:rsidRPr="00344FBE" w:rsidRDefault="005F6DA9" w:rsidP="005F6DA9">
            <w:pPr>
              <w:pStyle w:val="Tabledata"/>
            </w:pPr>
            <w:r>
              <w:t>The Police Officer or other person in charge of a police lockup</w:t>
            </w:r>
          </w:p>
        </w:tc>
      </w:tr>
      <w:tr w:rsidR="005F6DA9" w14:paraId="72467B6A" w14:textId="77777777" w:rsidTr="00835C6C">
        <w:tc>
          <w:tcPr>
            <w:tcW w:w="2116" w:type="dxa"/>
            <w:shd w:val="clear" w:color="auto" w:fill="FFFFFF" w:themeFill="background1"/>
          </w:tcPr>
          <w:p w14:paraId="74274F6C" w14:textId="77777777" w:rsidR="005F6DA9" w:rsidRPr="00AA3117" w:rsidRDefault="005F6DA9" w:rsidP="005F6DA9">
            <w:pPr>
              <w:pStyle w:val="Tabledata"/>
            </w:pPr>
            <w:r w:rsidRPr="00B42B2A">
              <w:rPr>
                <w:rFonts w:cs="Arial"/>
                <w:bCs/>
              </w:rPr>
              <w:t>Management and Placement-Sentenced (MAP-Sentenced)</w:t>
            </w:r>
          </w:p>
        </w:tc>
        <w:tc>
          <w:tcPr>
            <w:tcW w:w="7052" w:type="dxa"/>
            <w:shd w:val="clear" w:color="auto" w:fill="FFFFFF" w:themeFill="background1"/>
          </w:tcPr>
          <w:p w14:paraId="231EDE65" w14:textId="77777777" w:rsidR="005F6DA9" w:rsidRDefault="005F6DA9" w:rsidP="005F6DA9">
            <w:pPr>
              <w:pStyle w:val="Tabledata"/>
            </w:pPr>
            <w:r w:rsidRPr="00B42B2A">
              <w:rPr>
                <w:rFonts w:cs="Arial"/>
              </w:rPr>
              <w:t>The MAP-Sentenced is the checklist completed to determine initial security rating and placement for a sentenced prisoner and generally will define a prisoner’s security rating for the first 6 months in custody post-sentencing.</w:t>
            </w:r>
          </w:p>
        </w:tc>
      </w:tr>
      <w:tr w:rsidR="005F6DA9" w14:paraId="5D051E69" w14:textId="77777777" w:rsidTr="003D3E3F">
        <w:tc>
          <w:tcPr>
            <w:tcW w:w="2116" w:type="dxa"/>
          </w:tcPr>
          <w:p w14:paraId="14F99097" w14:textId="77777777" w:rsidR="005F6DA9" w:rsidRPr="00AA3117" w:rsidRDefault="005F6DA9" w:rsidP="005F6DA9">
            <w:pPr>
              <w:pStyle w:val="Tabledata"/>
            </w:pPr>
            <w:r>
              <w:t>Relevant Assistant Commissioner</w:t>
            </w:r>
          </w:p>
        </w:tc>
        <w:tc>
          <w:tcPr>
            <w:tcW w:w="7052" w:type="dxa"/>
          </w:tcPr>
          <w:p w14:paraId="452CA6BB" w14:textId="77777777" w:rsidR="005F6DA9" w:rsidRDefault="005F6DA9" w:rsidP="005F6DA9">
            <w:pPr>
              <w:pStyle w:val="Tabledata"/>
            </w:pPr>
            <w:r>
              <w:t>Either the Assistant Commissioner Custodial Operations (Adult Male Prisons) or Assistant Commissioner Women and Young People.</w:t>
            </w:r>
          </w:p>
        </w:tc>
      </w:tr>
      <w:tr w:rsidR="005F6DA9" w14:paraId="111F96E7" w14:textId="77777777" w:rsidTr="003D3E3F">
        <w:tc>
          <w:tcPr>
            <w:tcW w:w="2116" w:type="dxa"/>
          </w:tcPr>
          <w:p w14:paraId="286C911D" w14:textId="77777777" w:rsidR="005F6DA9" w:rsidRDefault="005F6DA9" w:rsidP="005F6DA9">
            <w:pPr>
              <w:pStyle w:val="Tabledata"/>
            </w:pPr>
            <w:r>
              <w:t>Superintendent</w:t>
            </w:r>
          </w:p>
        </w:tc>
        <w:tc>
          <w:tcPr>
            <w:tcW w:w="7052" w:type="dxa"/>
          </w:tcPr>
          <w:p w14:paraId="6807DFBF" w14:textId="77777777" w:rsidR="005F6DA9" w:rsidRDefault="005F6DA9" w:rsidP="006A07B8">
            <w:pPr>
              <w:pStyle w:val="Tabledata"/>
            </w:pPr>
            <w:r w:rsidRPr="002E2693">
              <w:t xml:space="preserve">The Superintendent as defined </w:t>
            </w:r>
            <w:r w:rsidRPr="00311D27">
              <w:t>in</w:t>
            </w:r>
            <w:r w:rsidR="00A46175">
              <w:t xml:space="preserve"> s </w:t>
            </w:r>
            <w:r w:rsidRPr="00311D27">
              <w:t xml:space="preserve">36 </w:t>
            </w:r>
            <w:hyperlink r:id="rId29" w:history="1">
              <w:r w:rsidRPr="00A46175">
                <w:rPr>
                  <w:rStyle w:val="Hyperlink"/>
                  <w:i/>
                </w:rPr>
                <w:t>Prisons Act 1981</w:t>
              </w:r>
            </w:hyperlink>
            <w:r w:rsidRPr="00311D27">
              <w:t xml:space="preserve">  includes any reference to the position responsible for the management of a private prison under Part IIIA </w:t>
            </w:r>
            <w:hyperlink r:id="rId30" w:history="1">
              <w:r w:rsidR="00A46175" w:rsidRPr="00A46175">
                <w:rPr>
                  <w:rStyle w:val="Hyperlink"/>
                  <w:i/>
                </w:rPr>
                <w:t>Prisons Act 1981</w:t>
              </w:r>
            </w:hyperlink>
            <w:r w:rsidRPr="00311D27">
              <w:t>.Does not extend to the Officer in Charge of a Prison.</w:t>
            </w:r>
          </w:p>
        </w:tc>
      </w:tr>
      <w:tr w:rsidR="00960A6F" w14:paraId="3296EE39" w14:textId="77777777" w:rsidTr="003D3E3F">
        <w:tc>
          <w:tcPr>
            <w:tcW w:w="2116" w:type="dxa"/>
          </w:tcPr>
          <w:p w14:paraId="50D35BB0" w14:textId="5771A3CB" w:rsidR="00960A6F" w:rsidRDefault="00960A6F" w:rsidP="005F6DA9">
            <w:pPr>
              <w:pStyle w:val="Tabledata"/>
            </w:pPr>
            <w:r>
              <w:t>Woman</w:t>
            </w:r>
          </w:p>
        </w:tc>
        <w:tc>
          <w:tcPr>
            <w:tcW w:w="7052" w:type="dxa"/>
          </w:tcPr>
          <w:p w14:paraId="57715A02" w14:textId="49C5C100" w:rsidR="00960A6F" w:rsidRPr="002E2693" w:rsidRDefault="00025603" w:rsidP="00025603">
            <w:r>
              <w:rPr>
                <w:rFonts w:cs="Arial"/>
              </w:rPr>
              <w:t>A</w:t>
            </w:r>
            <w:r w:rsidR="00960A6F">
              <w:rPr>
                <w:rFonts w:cs="Arial"/>
              </w:rPr>
              <w:t xml:space="preserve">n adult female human being. </w:t>
            </w:r>
          </w:p>
        </w:tc>
      </w:tr>
    </w:tbl>
    <w:p w14:paraId="03ECE0B5" w14:textId="77777777" w:rsidR="00D11E8A" w:rsidRPr="00A46175" w:rsidRDefault="00D11E8A" w:rsidP="00A46175"/>
    <w:p w14:paraId="3175297D" w14:textId="77777777" w:rsidR="003D708E" w:rsidRDefault="003D708E" w:rsidP="00A46175">
      <w:pPr>
        <w:pStyle w:val="Heading2"/>
      </w:pPr>
      <w:bookmarkStart w:id="14" w:name="_Toc140067675"/>
      <w:r>
        <w:t>Related legislation</w:t>
      </w:r>
      <w:bookmarkEnd w:id="14"/>
      <w:r>
        <w:t xml:space="preserve"> </w:t>
      </w:r>
    </w:p>
    <w:p w14:paraId="76C580EA" w14:textId="77777777" w:rsidR="00065A5C" w:rsidRPr="00065A5C" w:rsidRDefault="00065A5C" w:rsidP="00D11E8A">
      <w:pPr>
        <w:pStyle w:val="ListParagraph"/>
        <w:numPr>
          <w:ilvl w:val="0"/>
          <w:numId w:val="42"/>
        </w:numPr>
        <w:spacing w:before="120" w:after="120"/>
        <w:ind w:left="714" w:hanging="357"/>
        <w:contextualSpacing w:val="0"/>
        <w:rPr>
          <w:i/>
        </w:rPr>
      </w:pPr>
      <w:r w:rsidRPr="000606BB">
        <w:rPr>
          <w:i/>
        </w:rPr>
        <w:t>Coroners Act 1994</w:t>
      </w:r>
    </w:p>
    <w:p w14:paraId="11EF8F6A" w14:textId="77777777" w:rsidR="002B0FBA" w:rsidRPr="000606BB" w:rsidRDefault="002B0FBA" w:rsidP="00D11E8A">
      <w:pPr>
        <w:pStyle w:val="ListParagraph"/>
        <w:numPr>
          <w:ilvl w:val="0"/>
          <w:numId w:val="42"/>
        </w:numPr>
        <w:spacing w:before="120" w:after="120"/>
        <w:ind w:left="714" w:hanging="357"/>
        <w:contextualSpacing w:val="0"/>
      </w:pPr>
      <w:r w:rsidRPr="000606BB">
        <w:rPr>
          <w:i/>
        </w:rPr>
        <w:t xml:space="preserve">Prisons Act 1981 </w:t>
      </w:r>
    </w:p>
    <w:p w14:paraId="1FD31139" w14:textId="15C2E095" w:rsidR="00835C6C" w:rsidRDefault="002B0FBA" w:rsidP="00835C6C">
      <w:pPr>
        <w:pStyle w:val="ListParagraph"/>
        <w:numPr>
          <w:ilvl w:val="0"/>
          <w:numId w:val="42"/>
        </w:numPr>
        <w:spacing w:before="120" w:after="120"/>
        <w:ind w:left="714" w:hanging="357"/>
        <w:contextualSpacing w:val="0"/>
        <w:rPr>
          <w:i/>
        </w:rPr>
      </w:pPr>
      <w:r w:rsidRPr="000606BB">
        <w:rPr>
          <w:i/>
        </w:rPr>
        <w:t xml:space="preserve">Prisons </w:t>
      </w:r>
      <w:r w:rsidR="005F6DA9">
        <w:rPr>
          <w:i/>
        </w:rPr>
        <w:t>R</w:t>
      </w:r>
      <w:r w:rsidR="005F6DA9" w:rsidRPr="000606BB">
        <w:rPr>
          <w:i/>
        </w:rPr>
        <w:t xml:space="preserve">egulations </w:t>
      </w:r>
      <w:r w:rsidRPr="000606BB">
        <w:rPr>
          <w:i/>
        </w:rPr>
        <w:t xml:space="preserve">1982 </w:t>
      </w:r>
    </w:p>
    <w:p w14:paraId="702E7C0F" w14:textId="77777777" w:rsidR="00960A6F" w:rsidRPr="00960A6F" w:rsidRDefault="00960A6F" w:rsidP="00960A6F">
      <w:pPr>
        <w:pStyle w:val="ListParagraph"/>
        <w:spacing w:before="120" w:after="120"/>
        <w:ind w:left="714"/>
        <w:contextualSpacing w:val="0"/>
        <w:rPr>
          <w:i/>
        </w:rPr>
      </w:pPr>
    </w:p>
    <w:p w14:paraId="7F487346" w14:textId="77777777" w:rsidR="002E5756" w:rsidRPr="009D516D" w:rsidRDefault="002E5756" w:rsidP="00A46175">
      <w:pPr>
        <w:pStyle w:val="Heading1"/>
      </w:pPr>
      <w:bookmarkStart w:id="15" w:name="_Toc178286"/>
      <w:bookmarkStart w:id="16" w:name="_Toc140067676"/>
      <w:r w:rsidRPr="009D516D">
        <w:t>Assurance</w:t>
      </w:r>
      <w:bookmarkEnd w:id="15"/>
      <w:bookmarkEnd w:id="16"/>
    </w:p>
    <w:p w14:paraId="197B2DC8" w14:textId="77777777" w:rsidR="00C00F0D" w:rsidRPr="00606FAA" w:rsidRDefault="00C00F0D" w:rsidP="001031E0">
      <w:r w:rsidRPr="00606FAA">
        <w:t>It is expected that:</w:t>
      </w:r>
    </w:p>
    <w:p w14:paraId="2598141F" w14:textId="77777777" w:rsidR="00C00F0D" w:rsidRPr="00606FAA" w:rsidRDefault="00C00F0D" w:rsidP="001031E0">
      <w:pPr>
        <w:numPr>
          <w:ilvl w:val="0"/>
          <w:numId w:val="9"/>
        </w:numPr>
        <w:spacing w:before="120" w:after="120"/>
        <w:ind w:left="714" w:hanging="357"/>
      </w:pPr>
      <w:r w:rsidRPr="00606FAA">
        <w:t xml:space="preserve">Prisons will undertake local compliance in accordance with the </w:t>
      </w:r>
      <w:hyperlink r:id="rId31" w:history="1">
        <w:r w:rsidRPr="001031E0">
          <w:rPr>
            <w:rStyle w:val="Hyperlink"/>
          </w:rPr>
          <w:t>Compliance Manual</w:t>
        </w:r>
      </w:hyperlink>
      <w:r w:rsidRPr="00606FAA">
        <w:t>.</w:t>
      </w:r>
    </w:p>
    <w:p w14:paraId="5648A128" w14:textId="77777777" w:rsidR="00C00F0D" w:rsidRPr="00606FAA" w:rsidRDefault="00C00F0D" w:rsidP="000C18F5">
      <w:pPr>
        <w:numPr>
          <w:ilvl w:val="0"/>
          <w:numId w:val="9"/>
        </w:numPr>
        <w:spacing w:before="120" w:after="120"/>
        <w:ind w:left="714" w:hanging="357"/>
        <w:rPr>
          <w:rFonts w:eastAsia="Calibri"/>
        </w:rPr>
      </w:pPr>
      <w:r w:rsidRPr="00606FAA">
        <w:rPr>
          <w:rFonts w:eastAsia="Calibri"/>
        </w:rPr>
        <w:t xml:space="preserve">The relevant Deputy Commissioner will undertake management oversight as required. </w:t>
      </w:r>
    </w:p>
    <w:p w14:paraId="3B5B68B4" w14:textId="3E4DBDC0" w:rsidR="00C00F0D" w:rsidRPr="00606FAA" w:rsidRDefault="00C00F0D" w:rsidP="000C18F5">
      <w:pPr>
        <w:numPr>
          <w:ilvl w:val="0"/>
          <w:numId w:val="9"/>
        </w:numPr>
        <w:spacing w:before="120" w:after="120"/>
        <w:ind w:left="714" w:hanging="357"/>
        <w:rPr>
          <w:rFonts w:eastAsia="Calibri"/>
        </w:rPr>
      </w:pPr>
      <w:r>
        <w:rPr>
          <w:rFonts w:eastAsia="Calibri"/>
        </w:rPr>
        <w:t xml:space="preserve">Operational </w:t>
      </w:r>
      <w:r w:rsidRPr="00606FAA">
        <w:rPr>
          <w:rFonts w:eastAsia="Calibri"/>
        </w:rPr>
        <w:t xml:space="preserve">Compliance Branch will undertake checks in accordance with the </w:t>
      </w:r>
      <w:hyperlink r:id="rId32" w:history="1">
        <w:r w:rsidR="00D66F41">
          <w:rPr>
            <w:rFonts w:eastAsia="Calibri"/>
            <w:color w:val="0000FF"/>
            <w:u w:val="single"/>
          </w:rPr>
          <w:t>Operational</w:t>
        </w:r>
        <w:r w:rsidRPr="00606FAA">
          <w:rPr>
            <w:rFonts w:eastAsia="Calibri"/>
            <w:color w:val="0000FF"/>
            <w:u w:val="single"/>
          </w:rPr>
          <w:t xml:space="preserve"> Compliance Framework</w:t>
        </w:r>
      </w:hyperlink>
      <w:r w:rsidRPr="00606FAA">
        <w:rPr>
          <w:rFonts w:eastAsia="Calibri"/>
        </w:rPr>
        <w:t>.</w:t>
      </w:r>
    </w:p>
    <w:p w14:paraId="52D5E36A" w14:textId="0895F4A6" w:rsidR="00960A6F" w:rsidRDefault="00C00F0D" w:rsidP="00960A6F">
      <w:pPr>
        <w:numPr>
          <w:ilvl w:val="0"/>
          <w:numId w:val="9"/>
        </w:numPr>
        <w:spacing w:before="120" w:after="120"/>
        <w:ind w:left="714" w:hanging="357"/>
        <w:rPr>
          <w:rFonts w:eastAsia="Calibri"/>
        </w:rPr>
      </w:pPr>
      <w:r w:rsidRPr="00606FAA">
        <w:rPr>
          <w:rFonts w:eastAsia="Calibri"/>
        </w:rPr>
        <w:t xml:space="preserve">Independent oversight will be undertaken as required. </w:t>
      </w:r>
    </w:p>
    <w:p w14:paraId="7BD736CE" w14:textId="77777777" w:rsidR="00960A6F" w:rsidRPr="00960A6F" w:rsidRDefault="00960A6F" w:rsidP="00960A6F">
      <w:pPr>
        <w:spacing w:before="120" w:after="120"/>
        <w:ind w:left="714"/>
        <w:rPr>
          <w:rFonts w:eastAsia="Calibri"/>
        </w:rPr>
      </w:pPr>
    </w:p>
    <w:p w14:paraId="49E38E89" w14:textId="77777777" w:rsidR="00960A6F" w:rsidRDefault="00960A6F" w:rsidP="00960A6F">
      <w:pPr>
        <w:pStyle w:val="Heading1"/>
      </w:pPr>
      <w:bookmarkStart w:id="17" w:name="_Toc140067677"/>
      <w:r>
        <w:t>Document Version History</w:t>
      </w:r>
      <w:bookmarkEnd w:id="17"/>
    </w:p>
    <w:p w14:paraId="39DFF057" w14:textId="77777777" w:rsidR="00960A6F" w:rsidRPr="001031E0" w:rsidRDefault="00960A6F" w:rsidP="00960A6F"/>
    <w:tbl>
      <w:tblPr>
        <w:tblStyle w:val="DCStable"/>
        <w:tblW w:w="9359" w:type="dxa"/>
        <w:tblCellMar>
          <w:top w:w="57" w:type="dxa"/>
          <w:left w:w="85" w:type="dxa"/>
          <w:bottom w:w="57" w:type="dxa"/>
          <w:right w:w="85" w:type="dxa"/>
        </w:tblCellMar>
        <w:tblLook w:val="0620" w:firstRow="1" w:lastRow="0" w:firstColumn="0" w:lastColumn="0" w:noHBand="1" w:noVBand="1"/>
      </w:tblPr>
      <w:tblGrid>
        <w:gridCol w:w="1052"/>
        <w:gridCol w:w="1788"/>
        <w:gridCol w:w="3067"/>
        <w:gridCol w:w="1733"/>
        <w:gridCol w:w="1719"/>
      </w:tblGrid>
      <w:tr w:rsidR="00960A6F" w:rsidRPr="007D3C6F" w14:paraId="1D102780" w14:textId="77777777" w:rsidTr="00D100A0">
        <w:trPr>
          <w:cnfStyle w:val="100000000000" w:firstRow="1" w:lastRow="0" w:firstColumn="0" w:lastColumn="0" w:oddVBand="0" w:evenVBand="0" w:oddHBand="0" w:evenHBand="0" w:firstRowFirstColumn="0" w:firstRowLastColumn="0" w:lastRowFirstColumn="0" w:lastRowLastColumn="0"/>
          <w:trHeight w:val="553"/>
        </w:trPr>
        <w:tc>
          <w:tcPr>
            <w:tcW w:w="1052" w:type="dxa"/>
          </w:tcPr>
          <w:p w14:paraId="5F1419E3" w14:textId="77777777" w:rsidR="00960A6F" w:rsidRPr="007D3C6F" w:rsidRDefault="00960A6F" w:rsidP="00D100A0">
            <w:pPr>
              <w:pStyle w:val="Tableheading"/>
            </w:pPr>
            <w:r w:rsidRPr="007D3C6F">
              <w:t>Version no</w:t>
            </w:r>
          </w:p>
        </w:tc>
        <w:tc>
          <w:tcPr>
            <w:tcW w:w="1788" w:type="dxa"/>
          </w:tcPr>
          <w:p w14:paraId="213202F7" w14:textId="77777777" w:rsidR="00960A6F" w:rsidRPr="007D3C6F" w:rsidRDefault="00960A6F" w:rsidP="00D100A0">
            <w:pPr>
              <w:pStyle w:val="Tableheading"/>
            </w:pPr>
            <w:r w:rsidRPr="007D3C6F">
              <w:t>Primary author(s)</w:t>
            </w:r>
          </w:p>
        </w:tc>
        <w:tc>
          <w:tcPr>
            <w:tcW w:w="3067" w:type="dxa"/>
          </w:tcPr>
          <w:p w14:paraId="16A88DFB" w14:textId="77777777" w:rsidR="00960A6F" w:rsidRPr="007D3C6F" w:rsidRDefault="00960A6F" w:rsidP="00D100A0">
            <w:pPr>
              <w:pStyle w:val="Tableheading"/>
            </w:pPr>
            <w:r w:rsidRPr="007D3C6F">
              <w:t>Description of version</w:t>
            </w:r>
          </w:p>
        </w:tc>
        <w:tc>
          <w:tcPr>
            <w:tcW w:w="1733" w:type="dxa"/>
          </w:tcPr>
          <w:p w14:paraId="5B5B9E43" w14:textId="77777777" w:rsidR="00960A6F" w:rsidRPr="007D3C6F" w:rsidRDefault="00960A6F" w:rsidP="00D100A0">
            <w:pPr>
              <w:pStyle w:val="Tableheading"/>
            </w:pPr>
            <w:r w:rsidRPr="007D3C6F">
              <w:t>Date completed</w:t>
            </w:r>
          </w:p>
        </w:tc>
        <w:tc>
          <w:tcPr>
            <w:tcW w:w="1719" w:type="dxa"/>
          </w:tcPr>
          <w:p w14:paraId="64D36680" w14:textId="77777777" w:rsidR="00960A6F" w:rsidRPr="007D3C6F" w:rsidRDefault="00960A6F" w:rsidP="00D100A0">
            <w:pPr>
              <w:pStyle w:val="Tableheading"/>
            </w:pPr>
            <w:r>
              <w:t>Effective date</w:t>
            </w:r>
          </w:p>
        </w:tc>
      </w:tr>
      <w:tr w:rsidR="00960A6F" w:rsidRPr="007D3C6F" w14:paraId="1D97F3CA" w14:textId="77777777" w:rsidTr="00D100A0">
        <w:trPr>
          <w:trHeight w:val="27"/>
        </w:trPr>
        <w:tc>
          <w:tcPr>
            <w:tcW w:w="1052" w:type="dxa"/>
          </w:tcPr>
          <w:p w14:paraId="2801D135" w14:textId="77777777" w:rsidR="00960A6F" w:rsidRDefault="00960A6F" w:rsidP="00D100A0">
            <w:pPr>
              <w:pStyle w:val="Tabledata"/>
            </w:pPr>
            <w:r>
              <w:t>1.0</w:t>
            </w:r>
          </w:p>
        </w:tc>
        <w:tc>
          <w:tcPr>
            <w:tcW w:w="1788" w:type="dxa"/>
          </w:tcPr>
          <w:p w14:paraId="68C39F37" w14:textId="77777777" w:rsidR="00960A6F" w:rsidRDefault="00960A6F" w:rsidP="00D100A0">
            <w:pPr>
              <w:pStyle w:val="Tabledata"/>
            </w:pPr>
            <w:r>
              <w:t>Operational Policy</w:t>
            </w:r>
          </w:p>
        </w:tc>
        <w:tc>
          <w:tcPr>
            <w:tcW w:w="3067" w:type="dxa"/>
          </w:tcPr>
          <w:p w14:paraId="33BFED54" w14:textId="77777777" w:rsidR="00960A6F" w:rsidRDefault="00960A6F" w:rsidP="00D100A0">
            <w:pPr>
              <w:pStyle w:val="Tabledata"/>
            </w:pPr>
            <w:r w:rsidRPr="00D1230B">
              <w:t>Approved by the A/Director Operational Policy Compliance and Contracts</w:t>
            </w:r>
          </w:p>
        </w:tc>
        <w:tc>
          <w:tcPr>
            <w:tcW w:w="1733" w:type="dxa"/>
          </w:tcPr>
          <w:p w14:paraId="65007C04" w14:textId="77777777" w:rsidR="00960A6F" w:rsidRPr="00A46175" w:rsidRDefault="00960A6F" w:rsidP="00D100A0">
            <w:pPr>
              <w:pStyle w:val="Tabledata"/>
            </w:pPr>
            <w:r w:rsidRPr="00A46175">
              <w:t>31 August 2020</w:t>
            </w:r>
          </w:p>
        </w:tc>
        <w:tc>
          <w:tcPr>
            <w:tcW w:w="1719" w:type="dxa"/>
          </w:tcPr>
          <w:p w14:paraId="5EA290C0" w14:textId="77777777" w:rsidR="00960A6F" w:rsidRPr="00A46175" w:rsidRDefault="00960A6F" w:rsidP="00D100A0">
            <w:pPr>
              <w:pStyle w:val="Tabledata"/>
            </w:pPr>
            <w:r>
              <w:t>4 January 2021</w:t>
            </w:r>
          </w:p>
        </w:tc>
      </w:tr>
      <w:tr w:rsidR="00960A6F" w:rsidRPr="007D3C6F" w14:paraId="7E3EB67B" w14:textId="77777777" w:rsidTr="00D100A0">
        <w:trPr>
          <w:trHeight w:val="27"/>
        </w:trPr>
        <w:tc>
          <w:tcPr>
            <w:tcW w:w="1052" w:type="dxa"/>
          </w:tcPr>
          <w:p w14:paraId="1044417D" w14:textId="77777777" w:rsidR="00960A6F" w:rsidRDefault="00960A6F" w:rsidP="00D100A0">
            <w:pPr>
              <w:pStyle w:val="Tabledata"/>
            </w:pPr>
            <w:r>
              <w:t>2.0</w:t>
            </w:r>
          </w:p>
        </w:tc>
        <w:tc>
          <w:tcPr>
            <w:tcW w:w="1788" w:type="dxa"/>
          </w:tcPr>
          <w:p w14:paraId="25911F12" w14:textId="77777777" w:rsidR="00960A6F" w:rsidRDefault="00960A6F" w:rsidP="00D100A0">
            <w:pPr>
              <w:pStyle w:val="Tabledata"/>
            </w:pPr>
            <w:r>
              <w:t>Operational Policy</w:t>
            </w:r>
          </w:p>
        </w:tc>
        <w:tc>
          <w:tcPr>
            <w:tcW w:w="3067" w:type="dxa"/>
          </w:tcPr>
          <w:p w14:paraId="4B61B407" w14:textId="77777777" w:rsidR="00960A6F" w:rsidRDefault="00960A6F" w:rsidP="00D100A0">
            <w:pPr>
              <w:pStyle w:val="Tabledata"/>
            </w:pPr>
            <w:r w:rsidRPr="00D1230B">
              <w:t>Approved by the A/Director Operational Policy Compliance and Contracts</w:t>
            </w:r>
          </w:p>
        </w:tc>
        <w:tc>
          <w:tcPr>
            <w:tcW w:w="1733" w:type="dxa"/>
          </w:tcPr>
          <w:p w14:paraId="7E445D1C" w14:textId="77777777" w:rsidR="00960A6F" w:rsidRDefault="00960A6F" w:rsidP="00D100A0">
            <w:pPr>
              <w:pStyle w:val="Tabledata"/>
            </w:pPr>
            <w:r>
              <w:t>18 June 2021</w:t>
            </w:r>
          </w:p>
        </w:tc>
        <w:tc>
          <w:tcPr>
            <w:tcW w:w="1719" w:type="dxa"/>
          </w:tcPr>
          <w:p w14:paraId="1FB502F2" w14:textId="77777777" w:rsidR="00960A6F" w:rsidRDefault="00960A6F" w:rsidP="00D100A0">
            <w:pPr>
              <w:pStyle w:val="Tabledata"/>
            </w:pPr>
            <w:r>
              <w:t>21 January 2021</w:t>
            </w:r>
          </w:p>
        </w:tc>
      </w:tr>
      <w:tr w:rsidR="00025603" w:rsidRPr="007D3C6F" w14:paraId="3F707A6B" w14:textId="77777777" w:rsidTr="00D100A0">
        <w:trPr>
          <w:trHeight w:val="27"/>
        </w:trPr>
        <w:tc>
          <w:tcPr>
            <w:tcW w:w="1052" w:type="dxa"/>
          </w:tcPr>
          <w:p w14:paraId="5F170CB6" w14:textId="2B0CA1B7" w:rsidR="00025603" w:rsidRDefault="00025603" w:rsidP="00025603">
            <w:pPr>
              <w:pStyle w:val="Tabledata"/>
            </w:pPr>
            <w:r>
              <w:t>3.0</w:t>
            </w:r>
          </w:p>
        </w:tc>
        <w:tc>
          <w:tcPr>
            <w:tcW w:w="1788" w:type="dxa"/>
          </w:tcPr>
          <w:p w14:paraId="124F7E22" w14:textId="48130364" w:rsidR="00025603" w:rsidRDefault="00025603" w:rsidP="00025603">
            <w:pPr>
              <w:pStyle w:val="Tabledata"/>
            </w:pPr>
            <w:r w:rsidRPr="00037D35">
              <w:t>Operational Policy</w:t>
            </w:r>
          </w:p>
        </w:tc>
        <w:tc>
          <w:tcPr>
            <w:tcW w:w="3067" w:type="dxa"/>
          </w:tcPr>
          <w:p w14:paraId="0EA693EE" w14:textId="677321B8" w:rsidR="00025603" w:rsidRPr="00D1230B" w:rsidRDefault="00025603" w:rsidP="00025603">
            <w:pPr>
              <w:pStyle w:val="Tabledata"/>
            </w:pPr>
            <w:r w:rsidRPr="00D1230B">
              <w:t>Approved by the A/Director Operational Policy Compliance and Contracts</w:t>
            </w:r>
          </w:p>
        </w:tc>
        <w:tc>
          <w:tcPr>
            <w:tcW w:w="1733" w:type="dxa"/>
          </w:tcPr>
          <w:p w14:paraId="2785C011" w14:textId="4293348C" w:rsidR="00025603" w:rsidRDefault="00025603" w:rsidP="00025603">
            <w:pPr>
              <w:pStyle w:val="Tabledata"/>
            </w:pPr>
            <w:r>
              <w:t>2 March 2022</w:t>
            </w:r>
          </w:p>
        </w:tc>
        <w:tc>
          <w:tcPr>
            <w:tcW w:w="1719" w:type="dxa"/>
          </w:tcPr>
          <w:p w14:paraId="51262544" w14:textId="3D1B0D4D" w:rsidR="00025603" w:rsidRDefault="002E16B4" w:rsidP="00025603">
            <w:pPr>
              <w:pStyle w:val="Tabledata"/>
            </w:pPr>
            <w:r>
              <w:t>8</w:t>
            </w:r>
            <w:r w:rsidR="00025603">
              <w:t xml:space="preserve"> March 2022</w:t>
            </w:r>
          </w:p>
        </w:tc>
      </w:tr>
      <w:tr w:rsidR="008C71FC" w:rsidRPr="007D3C6F" w14:paraId="056AF822" w14:textId="77777777" w:rsidTr="00D100A0">
        <w:trPr>
          <w:trHeight w:val="27"/>
        </w:trPr>
        <w:tc>
          <w:tcPr>
            <w:tcW w:w="1052" w:type="dxa"/>
          </w:tcPr>
          <w:p w14:paraId="720133FE" w14:textId="585F50FA" w:rsidR="008C71FC" w:rsidRDefault="00D66F41" w:rsidP="008C71FC">
            <w:pPr>
              <w:pStyle w:val="Tabledata"/>
            </w:pPr>
            <w:r>
              <w:t>4</w:t>
            </w:r>
            <w:r w:rsidR="008C71FC">
              <w:t>.0</w:t>
            </w:r>
          </w:p>
        </w:tc>
        <w:tc>
          <w:tcPr>
            <w:tcW w:w="1788" w:type="dxa"/>
          </w:tcPr>
          <w:p w14:paraId="33348FAF" w14:textId="508F8EF7" w:rsidR="008C71FC" w:rsidRPr="00037D35" w:rsidRDefault="008C71FC" w:rsidP="008C71FC">
            <w:pPr>
              <w:pStyle w:val="Tabledata"/>
            </w:pPr>
            <w:r w:rsidRPr="00037D35">
              <w:t>Operational Policy</w:t>
            </w:r>
          </w:p>
        </w:tc>
        <w:tc>
          <w:tcPr>
            <w:tcW w:w="3067" w:type="dxa"/>
          </w:tcPr>
          <w:p w14:paraId="02790285" w14:textId="2E6C7957" w:rsidR="008C71FC" w:rsidRPr="00D1230B" w:rsidRDefault="008C71FC" w:rsidP="008C71FC">
            <w:pPr>
              <w:pStyle w:val="Tabledata"/>
            </w:pPr>
            <w:r w:rsidRPr="00D1230B">
              <w:t>Approved by the A/Director Operational Policy Compliance and Contracts</w:t>
            </w:r>
          </w:p>
        </w:tc>
        <w:tc>
          <w:tcPr>
            <w:tcW w:w="1733" w:type="dxa"/>
          </w:tcPr>
          <w:p w14:paraId="776268E7" w14:textId="12A7B5D4" w:rsidR="008C71FC" w:rsidRDefault="00B465ED" w:rsidP="008C71FC">
            <w:pPr>
              <w:pStyle w:val="Tabledata"/>
            </w:pPr>
            <w:r>
              <w:t>14 July 2023</w:t>
            </w:r>
          </w:p>
        </w:tc>
        <w:tc>
          <w:tcPr>
            <w:tcW w:w="1719" w:type="dxa"/>
          </w:tcPr>
          <w:p w14:paraId="155F55CB" w14:textId="769A1E2F" w:rsidR="008C71FC" w:rsidRDefault="00B465ED" w:rsidP="008C71FC">
            <w:pPr>
              <w:pStyle w:val="Tabledata"/>
            </w:pPr>
            <w:r>
              <w:t>14 July 2023</w:t>
            </w:r>
          </w:p>
        </w:tc>
      </w:tr>
    </w:tbl>
    <w:p w14:paraId="4E3046C4" w14:textId="6601DF40" w:rsidR="00065A5C" w:rsidRDefault="00065A5C" w:rsidP="00A46175">
      <w:r>
        <w:br w:type="page"/>
      </w:r>
    </w:p>
    <w:p w14:paraId="2D17B248" w14:textId="77777777" w:rsidR="00835C6C" w:rsidRDefault="00835C6C" w:rsidP="001031E0">
      <w:pPr>
        <w:pStyle w:val="H1nonumber"/>
      </w:pPr>
      <w:bookmarkStart w:id="18" w:name="_Appendix_A:_Schedule"/>
      <w:bookmarkStart w:id="19" w:name="_Toc140067678"/>
      <w:bookmarkEnd w:id="18"/>
      <w:r w:rsidRPr="001031E0">
        <w:lastRenderedPageBreak/>
        <w:t>Appendix A: Schedule of WA Police Force Lockups</w:t>
      </w:r>
      <w:bookmarkEnd w:id="19"/>
    </w:p>
    <w:p w14:paraId="011F4F46" w14:textId="77777777" w:rsidR="00835C6C" w:rsidRDefault="00835C6C" w:rsidP="001031E0">
      <w:r w:rsidRPr="001031E0">
        <w:t>Schedule of WA Police Force lockups or lockups operated on behalf of the Department of Justice for which prisons have potential prisoner placement/unit conference (or equivalent) responsibility</w:t>
      </w:r>
      <w:r w:rsidR="001031E0" w:rsidRPr="001031E0">
        <w:t>.</w:t>
      </w:r>
      <w:r>
        <w:rPr>
          <w:rStyle w:val="FootnoteReference"/>
        </w:rPr>
        <w:footnoteReference w:id="12"/>
      </w:r>
    </w:p>
    <w:p w14:paraId="2930DF1D" w14:textId="77777777" w:rsidR="001031E0" w:rsidRPr="001031E0" w:rsidRDefault="001031E0" w:rsidP="001031E0"/>
    <w:tbl>
      <w:tblPr>
        <w:tblStyle w:val="TableGrid"/>
        <w:tblW w:w="0" w:type="auto"/>
        <w:tblCellMar>
          <w:top w:w="57" w:type="dxa"/>
          <w:left w:w="85" w:type="dxa"/>
          <w:bottom w:w="57" w:type="dxa"/>
          <w:right w:w="85" w:type="dxa"/>
        </w:tblCellMar>
        <w:tblLook w:val="04A0" w:firstRow="1" w:lastRow="0" w:firstColumn="1" w:lastColumn="0" w:noHBand="0" w:noVBand="1"/>
      </w:tblPr>
      <w:tblGrid>
        <w:gridCol w:w="4584"/>
        <w:gridCol w:w="4584"/>
      </w:tblGrid>
      <w:tr w:rsidR="00835C6C" w14:paraId="3D0C1E57" w14:textId="77777777" w:rsidTr="00A46175">
        <w:tc>
          <w:tcPr>
            <w:tcW w:w="4584" w:type="dxa"/>
            <w:shd w:val="clear" w:color="auto" w:fill="DAD7CB"/>
          </w:tcPr>
          <w:p w14:paraId="52EC153B" w14:textId="77777777" w:rsidR="00835C6C" w:rsidRPr="007E1398" w:rsidRDefault="00835C6C" w:rsidP="00A46175">
            <w:pPr>
              <w:pStyle w:val="Tableheading"/>
            </w:pPr>
            <w:r w:rsidRPr="007E1398">
              <w:t>Albany Regional Prison</w:t>
            </w:r>
          </w:p>
        </w:tc>
        <w:tc>
          <w:tcPr>
            <w:tcW w:w="4584" w:type="dxa"/>
            <w:shd w:val="clear" w:color="auto" w:fill="DAD7CB"/>
          </w:tcPr>
          <w:p w14:paraId="45F75887" w14:textId="77777777" w:rsidR="00835C6C" w:rsidRPr="007E1398" w:rsidRDefault="00835C6C" w:rsidP="00A46175">
            <w:pPr>
              <w:pStyle w:val="Tableheading"/>
            </w:pPr>
            <w:r w:rsidRPr="007E1398">
              <w:t>Greenough Regional Prison</w:t>
            </w:r>
          </w:p>
        </w:tc>
      </w:tr>
      <w:tr w:rsidR="00D66609" w14:paraId="50E9E9CC" w14:textId="77777777" w:rsidTr="00A46175">
        <w:trPr>
          <w:trHeight w:val="1208"/>
        </w:trPr>
        <w:tc>
          <w:tcPr>
            <w:tcW w:w="4584" w:type="dxa"/>
          </w:tcPr>
          <w:p w14:paraId="14F4CDA5" w14:textId="77777777" w:rsidR="00D66609" w:rsidRPr="00A46175" w:rsidRDefault="00D66609" w:rsidP="00A46175">
            <w:pPr>
              <w:pStyle w:val="Tabledata"/>
            </w:pPr>
            <w:r>
              <w:t xml:space="preserve">Albany </w:t>
            </w:r>
          </w:p>
          <w:p w14:paraId="0E81E4D9" w14:textId="77777777" w:rsidR="00D66609" w:rsidRDefault="00D66609" w:rsidP="00A46175">
            <w:pPr>
              <w:pStyle w:val="Tabledata"/>
              <w:rPr>
                <w:b/>
              </w:rPr>
            </w:pPr>
            <w:r>
              <w:t>Narrogin</w:t>
            </w:r>
          </w:p>
        </w:tc>
        <w:tc>
          <w:tcPr>
            <w:tcW w:w="4584" w:type="dxa"/>
            <w:vMerge w:val="restart"/>
          </w:tcPr>
          <w:p w14:paraId="28350B43" w14:textId="77777777" w:rsidR="00D66609" w:rsidRDefault="00D66609" w:rsidP="00A46175">
            <w:pPr>
              <w:pStyle w:val="Tabledata"/>
            </w:pPr>
            <w:r>
              <w:t>Carnarvon</w:t>
            </w:r>
          </w:p>
          <w:p w14:paraId="15FDC62F" w14:textId="77777777" w:rsidR="00F530C7" w:rsidRPr="00A46175" w:rsidRDefault="00F530C7" w:rsidP="00A46175">
            <w:pPr>
              <w:pStyle w:val="Tabledata"/>
            </w:pPr>
            <w:r>
              <w:t>Exmouth</w:t>
            </w:r>
          </w:p>
          <w:p w14:paraId="43A8BF6F" w14:textId="77777777" w:rsidR="00D66609" w:rsidRPr="00A46175" w:rsidRDefault="00D66609" w:rsidP="00A46175">
            <w:pPr>
              <w:pStyle w:val="Tabledata"/>
            </w:pPr>
            <w:r>
              <w:t>Geraldton</w:t>
            </w:r>
          </w:p>
          <w:p w14:paraId="3BC4CE4E" w14:textId="77777777" w:rsidR="00D66609" w:rsidRPr="00A46175" w:rsidRDefault="00D66609" w:rsidP="00A46175">
            <w:pPr>
              <w:pStyle w:val="Tabledata"/>
            </w:pPr>
            <w:r>
              <w:t>Meekatharra</w:t>
            </w:r>
          </w:p>
          <w:p w14:paraId="082B5D08" w14:textId="77777777" w:rsidR="00D66609" w:rsidRPr="00A46175" w:rsidRDefault="00D66609" w:rsidP="00A46175">
            <w:pPr>
              <w:pStyle w:val="Tabledata"/>
            </w:pPr>
            <w:r>
              <w:t>Moora</w:t>
            </w:r>
          </w:p>
          <w:p w14:paraId="029CB575" w14:textId="77777777" w:rsidR="00D66609" w:rsidRDefault="00D66609" w:rsidP="00A46175">
            <w:pPr>
              <w:pStyle w:val="Tabledata"/>
              <w:rPr>
                <w:b/>
              </w:rPr>
            </w:pPr>
            <w:r>
              <w:t>Mt Magnet</w:t>
            </w:r>
          </w:p>
        </w:tc>
      </w:tr>
      <w:tr w:rsidR="00D66609" w14:paraId="366688E4" w14:textId="77777777" w:rsidTr="00A46175">
        <w:tc>
          <w:tcPr>
            <w:tcW w:w="4584" w:type="dxa"/>
            <w:shd w:val="clear" w:color="auto" w:fill="DAD7CB"/>
          </w:tcPr>
          <w:p w14:paraId="38BB1BF7" w14:textId="77777777" w:rsidR="00D66609" w:rsidRPr="007E1398" w:rsidRDefault="00D66609" w:rsidP="00A46175">
            <w:pPr>
              <w:pStyle w:val="Tableheading"/>
            </w:pPr>
            <w:r w:rsidRPr="007E1398">
              <w:t>Bandyup Women’s Prison</w:t>
            </w:r>
          </w:p>
        </w:tc>
        <w:tc>
          <w:tcPr>
            <w:tcW w:w="4584" w:type="dxa"/>
            <w:vMerge/>
          </w:tcPr>
          <w:p w14:paraId="7D2CAFF0" w14:textId="77777777" w:rsidR="00D66609" w:rsidRDefault="00D66609" w:rsidP="00A46175">
            <w:pPr>
              <w:pStyle w:val="Tableheading"/>
            </w:pPr>
          </w:p>
        </w:tc>
      </w:tr>
      <w:tr w:rsidR="00D66609" w14:paraId="28F5032A" w14:textId="77777777" w:rsidTr="00A46175">
        <w:trPr>
          <w:trHeight w:val="742"/>
        </w:trPr>
        <w:tc>
          <w:tcPr>
            <w:tcW w:w="4584" w:type="dxa"/>
            <w:vMerge w:val="restart"/>
            <w:tcBorders>
              <w:bottom w:val="single" w:sz="4" w:space="0" w:color="auto"/>
            </w:tcBorders>
          </w:tcPr>
          <w:p w14:paraId="169E72AA" w14:textId="77777777" w:rsidR="00D66609" w:rsidRPr="00A46175" w:rsidRDefault="00D66609" w:rsidP="00A46175">
            <w:pPr>
              <w:pStyle w:val="Tabledata"/>
            </w:pPr>
            <w:r>
              <w:t>Midland</w:t>
            </w:r>
          </w:p>
          <w:p w14:paraId="57A1A372" w14:textId="77777777" w:rsidR="00D66609" w:rsidRDefault="00D66609" w:rsidP="00A46175">
            <w:pPr>
              <w:pStyle w:val="Tabledata"/>
              <w:rPr>
                <w:b/>
              </w:rPr>
            </w:pPr>
            <w:r>
              <w:t>Joondalup</w:t>
            </w:r>
          </w:p>
        </w:tc>
        <w:tc>
          <w:tcPr>
            <w:tcW w:w="4584" w:type="dxa"/>
            <w:vMerge/>
            <w:tcBorders>
              <w:bottom w:val="single" w:sz="4" w:space="0" w:color="auto"/>
            </w:tcBorders>
          </w:tcPr>
          <w:p w14:paraId="6F083563" w14:textId="77777777" w:rsidR="00D66609" w:rsidRDefault="00D66609" w:rsidP="00A46175">
            <w:pPr>
              <w:pStyle w:val="Tabledata"/>
              <w:rPr>
                <w:b/>
              </w:rPr>
            </w:pPr>
          </w:p>
        </w:tc>
      </w:tr>
      <w:tr w:rsidR="00D66609" w14:paraId="48E9A14D" w14:textId="77777777" w:rsidTr="00A46175">
        <w:tc>
          <w:tcPr>
            <w:tcW w:w="4584" w:type="dxa"/>
            <w:vMerge/>
          </w:tcPr>
          <w:p w14:paraId="5A8720D2" w14:textId="77777777" w:rsidR="00D66609" w:rsidRDefault="00D66609" w:rsidP="00A46175">
            <w:pPr>
              <w:pStyle w:val="Tabledata"/>
              <w:rPr>
                <w:b/>
              </w:rPr>
            </w:pPr>
          </w:p>
        </w:tc>
        <w:tc>
          <w:tcPr>
            <w:tcW w:w="4584" w:type="dxa"/>
            <w:shd w:val="clear" w:color="auto" w:fill="DAD7CB"/>
          </w:tcPr>
          <w:p w14:paraId="0D030BD5" w14:textId="77777777" w:rsidR="00D66609" w:rsidRDefault="00D66609" w:rsidP="00A46175">
            <w:pPr>
              <w:pStyle w:val="Tableheading"/>
            </w:pPr>
            <w:r w:rsidRPr="007E1398">
              <w:t>Karnet Prison Farm</w:t>
            </w:r>
          </w:p>
        </w:tc>
      </w:tr>
      <w:tr w:rsidR="00D66609" w14:paraId="3D47D235" w14:textId="77777777" w:rsidTr="00A46175">
        <w:tc>
          <w:tcPr>
            <w:tcW w:w="4584" w:type="dxa"/>
            <w:shd w:val="clear" w:color="auto" w:fill="DAD7CB"/>
          </w:tcPr>
          <w:p w14:paraId="45DDE648" w14:textId="77777777" w:rsidR="00D66609" w:rsidRPr="007E1398" w:rsidRDefault="00D66609" w:rsidP="00A46175">
            <w:pPr>
              <w:pStyle w:val="Tableheading"/>
            </w:pPr>
            <w:r w:rsidRPr="007E1398">
              <w:t>B</w:t>
            </w:r>
            <w:r>
              <w:t>roome</w:t>
            </w:r>
            <w:r w:rsidRPr="007E1398">
              <w:t xml:space="preserve"> Regional Prison</w:t>
            </w:r>
          </w:p>
        </w:tc>
        <w:tc>
          <w:tcPr>
            <w:tcW w:w="4584" w:type="dxa"/>
            <w:vMerge w:val="restart"/>
          </w:tcPr>
          <w:p w14:paraId="6CD833CB" w14:textId="77777777" w:rsidR="00D66609" w:rsidRPr="007E1398" w:rsidRDefault="00D66609" w:rsidP="00A46175">
            <w:pPr>
              <w:pStyle w:val="Tabledata"/>
            </w:pPr>
            <w:r>
              <w:t>Armadale</w:t>
            </w:r>
          </w:p>
        </w:tc>
      </w:tr>
      <w:tr w:rsidR="00D66609" w14:paraId="3A3DCC98" w14:textId="77777777" w:rsidTr="00A46175">
        <w:trPr>
          <w:trHeight w:val="336"/>
        </w:trPr>
        <w:tc>
          <w:tcPr>
            <w:tcW w:w="4584" w:type="dxa"/>
            <w:vMerge w:val="restart"/>
          </w:tcPr>
          <w:p w14:paraId="0757FE9E" w14:textId="77777777" w:rsidR="00D66609" w:rsidRPr="00A46175" w:rsidRDefault="00D66609" w:rsidP="00A46175">
            <w:pPr>
              <w:pStyle w:val="Tabledata"/>
            </w:pPr>
            <w:r>
              <w:t>Broome</w:t>
            </w:r>
            <w:r w:rsidDel="004D502E">
              <w:t xml:space="preserve"> </w:t>
            </w:r>
          </w:p>
          <w:p w14:paraId="55CFB230" w14:textId="77777777" w:rsidR="00D66609" w:rsidRPr="00A46175" w:rsidRDefault="00D66609" w:rsidP="00A46175">
            <w:pPr>
              <w:pStyle w:val="Tabledata"/>
            </w:pPr>
            <w:r>
              <w:t>Kununurra</w:t>
            </w:r>
          </w:p>
          <w:p w14:paraId="1BF3BD85" w14:textId="77777777" w:rsidR="00D66609" w:rsidRDefault="00D66609" w:rsidP="00A46175">
            <w:pPr>
              <w:pStyle w:val="Tabledata"/>
              <w:rPr>
                <w:b/>
              </w:rPr>
            </w:pPr>
            <w:r>
              <w:t>Wyndham</w:t>
            </w:r>
          </w:p>
        </w:tc>
        <w:tc>
          <w:tcPr>
            <w:tcW w:w="4584" w:type="dxa"/>
            <w:vMerge/>
          </w:tcPr>
          <w:p w14:paraId="70BA683C" w14:textId="77777777" w:rsidR="00D66609" w:rsidRDefault="00D66609" w:rsidP="00A46175">
            <w:pPr>
              <w:pStyle w:val="Tabledata"/>
              <w:rPr>
                <w:b/>
              </w:rPr>
            </w:pPr>
          </w:p>
        </w:tc>
      </w:tr>
      <w:tr w:rsidR="00D66609" w14:paraId="7E94157B" w14:textId="77777777" w:rsidTr="00A46175">
        <w:tc>
          <w:tcPr>
            <w:tcW w:w="4584" w:type="dxa"/>
            <w:vMerge/>
          </w:tcPr>
          <w:p w14:paraId="6FDEB45D" w14:textId="77777777" w:rsidR="00D66609" w:rsidRDefault="00D66609" w:rsidP="00A46175">
            <w:pPr>
              <w:pStyle w:val="Tabledata"/>
              <w:rPr>
                <w:b/>
              </w:rPr>
            </w:pPr>
          </w:p>
        </w:tc>
        <w:tc>
          <w:tcPr>
            <w:tcW w:w="4584" w:type="dxa"/>
            <w:shd w:val="clear" w:color="auto" w:fill="DAD7CB"/>
          </w:tcPr>
          <w:p w14:paraId="4DBA491F" w14:textId="77777777" w:rsidR="00D66609" w:rsidRDefault="00D66609" w:rsidP="00A46175">
            <w:pPr>
              <w:pStyle w:val="Tableheading"/>
            </w:pPr>
            <w:r w:rsidRPr="007E1398">
              <w:t>Roebourne Regional Prison</w:t>
            </w:r>
          </w:p>
        </w:tc>
      </w:tr>
      <w:tr w:rsidR="00D66609" w14:paraId="46582A27" w14:textId="77777777" w:rsidTr="00A46175">
        <w:trPr>
          <w:trHeight w:val="1078"/>
        </w:trPr>
        <w:tc>
          <w:tcPr>
            <w:tcW w:w="4584" w:type="dxa"/>
            <w:vMerge/>
            <w:tcBorders>
              <w:bottom w:val="single" w:sz="4" w:space="0" w:color="auto"/>
            </w:tcBorders>
          </w:tcPr>
          <w:p w14:paraId="12090D1E" w14:textId="77777777" w:rsidR="00D66609" w:rsidRDefault="00D66609" w:rsidP="00A46175">
            <w:pPr>
              <w:pStyle w:val="Tabledata"/>
              <w:rPr>
                <w:b/>
              </w:rPr>
            </w:pPr>
          </w:p>
        </w:tc>
        <w:tc>
          <w:tcPr>
            <w:tcW w:w="4584" w:type="dxa"/>
            <w:vMerge w:val="restart"/>
            <w:tcBorders>
              <w:bottom w:val="single" w:sz="4" w:space="0" w:color="auto"/>
            </w:tcBorders>
          </w:tcPr>
          <w:p w14:paraId="0048EE13" w14:textId="77777777" w:rsidR="00D66609" w:rsidRPr="007E1398" w:rsidRDefault="00D66609" w:rsidP="00A46175">
            <w:pPr>
              <w:pStyle w:val="Tabledata"/>
            </w:pPr>
            <w:r>
              <w:t>Karratha</w:t>
            </w:r>
          </w:p>
          <w:p w14:paraId="08E20EE5" w14:textId="77777777" w:rsidR="00D66609" w:rsidRPr="00A46175" w:rsidRDefault="00D66609" w:rsidP="00A46175">
            <w:pPr>
              <w:pStyle w:val="Tabledata"/>
            </w:pPr>
            <w:r>
              <w:t>Newman</w:t>
            </w:r>
          </w:p>
          <w:p w14:paraId="63621F50" w14:textId="77777777" w:rsidR="00D66609" w:rsidRPr="007E1398" w:rsidRDefault="00D66609" w:rsidP="00A46175">
            <w:pPr>
              <w:pStyle w:val="Tabledata"/>
            </w:pPr>
            <w:r>
              <w:t>South Hedland</w:t>
            </w:r>
          </w:p>
        </w:tc>
      </w:tr>
      <w:tr w:rsidR="00D66609" w14:paraId="09733F62" w14:textId="77777777" w:rsidTr="00A46175">
        <w:tc>
          <w:tcPr>
            <w:tcW w:w="4584" w:type="dxa"/>
            <w:shd w:val="clear" w:color="auto" w:fill="DAD7CB"/>
          </w:tcPr>
          <w:p w14:paraId="3F55EC84" w14:textId="77777777" w:rsidR="00D66609" w:rsidRPr="007E1398" w:rsidRDefault="00D66609" w:rsidP="00A46175">
            <w:pPr>
              <w:pStyle w:val="Tableheading"/>
            </w:pPr>
            <w:r w:rsidRPr="007E1398">
              <w:t>Bunbury Regional Prison</w:t>
            </w:r>
          </w:p>
        </w:tc>
        <w:tc>
          <w:tcPr>
            <w:tcW w:w="4584" w:type="dxa"/>
            <w:vMerge/>
          </w:tcPr>
          <w:p w14:paraId="5E5F4F54" w14:textId="77777777" w:rsidR="00D66609" w:rsidRDefault="00D66609" w:rsidP="00A46175">
            <w:pPr>
              <w:pStyle w:val="Tabledata"/>
              <w:rPr>
                <w:b/>
              </w:rPr>
            </w:pPr>
          </w:p>
        </w:tc>
      </w:tr>
      <w:tr w:rsidR="00D66609" w14:paraId="7A686CFE" w14:textId="77777777" w:rsidTr="00A46175">
        <w:trPr>
          <w:trHeight w:val="336"/>
        </w:trPr>
        <w:tc>
          <w:tcPr>
            <w:tcW w:w="4584" w:type="dxa"/>
            <w:vMerge w:val="restart"/>
          </w:tcPr>
          <w:p w14:paraId="25533B5D" w14:textId="77777777" w:rsidR="00D66609" w:rsidRPr="00A46175" w:rsidRDefault="00D66609" w:rsidP="00A46175">
            <w:pPr>
              <w:pStyle w:val="Tabledata"/>
            </w:pPr>
            <w:r>
              <w:t>Bunbury</w:t>
            </w:r>
          </w:p>
          <w:p w14:paraId="0519316F" w14:textId="77777777" w:rsidR="00D66609" w:rsidRDefault="00D66609" w:rsidP="00A46175">
            <w:pPr>
              <w:pStyle w:val="Tabledata"/>
              <w:rPr>
                <w:b/>
              </w:rPr>
            </w:pPr>
            <w:r>
              <w:t>Busselton</w:t>
            </w:r>
          </w:p>
        </w:tc>
        <w:tc>
          <w:tcPr>
            <w:tcW w:w="4584" w:type="dxa"/>
            <w:vMerge/>
          </w:tcPr>
          <w:p w14:paraId="328A3037" w14:textId="77777777" w:rsidR="00D66609" w:rsidRDefault="00D66609" w:rsidP="00A46175">
            <w:pPr>
              <w:pStyle w:val="Tabledata"/>
              <w:rPr>
                <w:b/>
              </w:rPr>
            </w:pPr>
          </w:p>
        </w:tc>
      </w:tr>
      <w:tr w:rsidR="00D66609" w14:paraId="11B1CA1D" w14:textId="77777777" w:rsidTr="00A46175">
        <w:tc>
          <w:tcPr>
            <w:tcW w:w="4584" w:type="dxa"/>
            <w:vMerge/>
          </w:tcPr>
          <w:p w14:paraId="132A4343" w14:textId="77777777" w:rsidR="00D66609" w:rsidRDefault="00D66609" w:rsidP="00A46175">
            <w:pPr>
              <w:pStyle w:val="Tabledata"/>
              <w:rPr>
                <w:b/>
              </w:rPr>
            </w:pPr>
          </w:p>
        </w:tc>
        <w:tc>
          <w:tcPr>
            <w:tcW w:w="4584" w:type="dxa"/>
            <w:shd w:val="clear" w:color="auto" w:fill="DAD7CB"/>
          </w:tcPr>
          <w:p w14:paraId="576325E6" w14:textId="77777777" w:rsidR="00D66609" w:rsidRDefault="00D66609" w:rsidP="00A46175">
            <w:pPr>
              <w:pStyle w:val="Tableheading"/>
            </w:pPr>
            <w:r w:rsidRPr="007E1398">
              <w:t>Wooroloo Prison Farm</w:t>
            </w:r>
          </w:p>
        </w:tc>
      </w:tr>
      <w:tr w:rsidR="00D66609" w14:paraId="39814D2A" w14:textId="77777777" w:rsidTr="00A46175">
        <w:trPr>
          <w:trHeight w:val="396"/>
        </w:trPr>
        <w:tc>
          <w:tcPr>
            <w:tcW w:w="4584" w:type="dxa"/>
            <w:vMerge/>
          </w:tcPr>
          <w:p w14:paraId="6CA3810A" w14:textId="77777777" w:rsidR="00D66609" w:rsidRDefault="00D66609" w:rsidP="00A46175">
            <w:pPr>
              <w:pStyle w:val="Tabledata"/>
              <w:rPr>
                <w:b/>
              </w:rPr>
            </w:pPr>
          </w:p>
        </w:tc>
        <w:tc>
          <w:tcPr>
            <w:tcW w:w="4584" w:type="dxa"/>
            <w:vMerge w:val="restart"/>
          </w:tcPr>
          <w:p w14:paraId="579A59E9" w14:textId="77777777" w:rsidR="00D66609" w:rsidRPr="007E1398" w:rsidRDefault="00D66609" w:rsidP="00A46175">
            <w:pPr>
              <w:pStyle w:val="Tabledata"/>
            </w:pPr>
            <w:r>
              <w:t>Merredin</w:t>
            </w:r>
          </w:p>
          <w:p w14:paraId="57783475" w14:textId="77777777" w:rsidR="00D66609" w:rsidRPr="007E1398" w:rsidRDefault="00D66609" w:rsidP="00A46175">
            <w:pPr>
              <w:pStyle w:val="Tabledata"/>
            </w:pPr>
            <w:r>
              <w:t>Northam</w:t>
            </w:r>
          </w:p>
        </w:tc>
      </w:tr>
      <w:tr w:rsidR="00D66609" w14:paraId="3B50DDC5" w14:textId="77777777" w:rsidTr="00A46175">
        <w:tc>
          <w:tcPr>
            <w:tcW w:w="4584" w:type="dxa"/>
            <w:shd w:val="clear" w:color="auto" w:fill="DAD7CB"/>
          </w:tcPr>
          <w:p w14:paraId="307A03E0" w14:textId="77777777" w:rsidR="00D66609" w:rsidRPr="007E1398" w:rsidRDefault="00D66609" w:rsidP="00A46175">
            <w:pPr>
              <w:pStyle w:val="Tableheading"/>
            </w:pPr>
            <w:r w:rsidRPr="007E1398">
              <w:t>Casuarina Prison</w:t>
            </w:r>
          </w:p>
        </w:tc>
        <w:tc>
          <w:tcPr>
            <w:tcW w:w="4584" w:type="dxa"/>
            <w:vMerge/>
          </w:tcPr>
          <w:p w14:paraId="53F36404" w14:textId="77777777" w:rsidR="00D66609" w:rsidRDefault="00D66609" w:rsidP="00A46175">
            <w:pPr>
              <w:pStyle w:val="Tabledata"/>
              <w:rPr>
                <w:b/>
              </w:rPr>
            </w:pPr>
          </w:p>
        </w:tc>
      </w:tr>
      <w:tr w:rsidR="00D66609" w14:paraId="68D292A0" w14:textId="77777777" w:rsidTr="00A46175">
        <w:trPr>
          <w:trHeight w:val="336"/>
        </w:trPr>
        <w:tc>
          <w:tcPr>
            <w:tcW w:w="4584" w:type="dxa"/>
            <w:vMerge w:val="restart"/>
          </w:tcPr>
          <w:p w14:paraId="2858B31F" w14:textId="77777777" w:rsidR="00D66609" w:rsidRPr="00A46175" w:rsidRDefault="00D66609" w:rsidP="00A46175">
            <w:pPr>
              <w:pStyle w:val="Tabledata"/>
            </w:pPr>
            <w:r>
              <w:t>Mandurah</w:t>
            </w:r>
          </w:p>
          <w:p w14:paraId="6DDC7CF5" w14:textId="77777777" w:rsidR="00D66609" w:rsidRDefault="00D66609" w:rsidP="00A46175">
            <w:pPr>
              <w:pStyle w:val="Tabledata"/>
              <w:rPr>
                <w:b/>
              </w:rPr>
            </w:pPr>
            <w:r>
              <w:t>Rockingham</w:t>
            </w:r>
          </w:p>
        </w:tc>
        <w:tc>
          <w:tcPr>
            <w:tcW w:w="4584" w:type="dxa"/>
            <w:vMerge/>
          </w:tcPr>
          <w:p w14:paraId="3EB2B4E5" w14:textId="77777777" w:rsidR="00D66609" w:rsidRDefault="00D66609" w:rsidP="00A46175">
            <w:pPr>
              <w:pStyle w:val="Tabledata"/>
              <w:rPr>
                <w:b/>
              </w:rPr>
            </w:pPr>
          </w:p>
        </w:tc>
      </w:tr>
      <w:tr w:rsidR="00D66609" w14:paraId="43EF5090" w14:textId="77777777" w:rsidTr="00A46175">
        <w:tc>
          <w:tcPr>
            <w:tcW w:w="4584" w:type="dxa"/>
            <w:vMerge/>
          </w:tcPr>
          <w:p w14:paraId="714FF15E" w14:textId="77777777" w:rsidR="00D66609" w:rsidRDefault="00D66609" w:rsidP="00A46175">
            <w:pPr>
              <w:pStyle w:val="Tabledata"/>
              <w:rPr>
                <w:b/>
              </w:rPr>
            </w:pPr>
          </w:p>
        </w:tc>
        <w:tc>
          <w:tcPr>
            <w:tcW w:w="4584" w:type="dxa"/>
            <w:shd w:val="clear" w:color="auto" w:fill="DAD7CB"/>
          </w:tcPr>
          <w:p w14:paraId="22EB9CE9" w14:textId="77777777" w:rsidR="00D66609" w:rsidRDefault="00D66609" w:rsidP="00A46175">
            <w:pPr>
              <w:pStyle w:val="Tableheading"/>
            </w:pPr>
            <w:r w:rsidRPr="007E1398">
              <w:t>West Kimber</w:t>
            </w:r>
            <w:r w:rsidRPr="00A46175">
              <w:t>l</w:t>
            </w:r>
            <w:r w:rsidRPr="007E1398">
              <w:t>ey Regional Prison</w:t>
            </w:r>
          </w:p>
        </w:tc>
      </w:tr>
      <w:tr w:rsidR="00D66609" w14:paraId="0EBED1A9" w14:textId="77777777" w:rsidTr="00A46175">
        <w:trPr>
          <w:trHeight w:val="396"/>
        </w:trPr>
        <w:tc>
          <w:tcPr>
            <w:tcW w:w="4584" w:type="dxa"/>
            <w:vMerge/>
          </w:tcPr>
          <w:p w14:paraId="4EF28DD0" w14:textId="77777777" w:rsidR="00D66609" w:rsidRDefault="00D66609" w:rsidP="00A46175">
            <w:pPr>
              <w:pStyle w:val="Tabledata"/>
              <w:rPr>
                <w:b/>
              </w:rPr>
            </w:pPr>
          </w:p>
        </w:tc>
        <w:tc>
          <w:tcPr>
            <w:tcW w:w="4584" w:type="dxa"/>
            <w:vMerge w:val="restart"/>
          </w:tcPr>
          <w:p w14:paraId="4A3734CF" w14:textId="77777777" w:rsidR="00D66609" w:rsidRPr="007E1398" w:rsidRDefault="00D66609" w:rsidP="00A46175">
            <w:pPr>
              <w:pStyle w:val="Tabledata"/>
            </w:pPr>
            <w:r>
              <w:t>Derby</w:t>
            </w:r>
          </w:p>
          <w:p w14:paraId="42F1D7A5" w14:textId="77777777" w:rsidR="00D66609" w:rsidRPr="00A46175" w:rsidRDefault="00D66609" w:rsidP="00A46175">
            <w:pPr>
              <w:pStyle w:val="Tabledata"/>
            </w:pPr>
            <w:r>
              <w:t>Fitzroy Crossing</w:t>
            </w:r>
          </w:p>
          <w:p w14:paraId="52EAA4BD" w14:textId="77777777" w:rsidR="00D66609" w:rsidRPr="007E1398" w:rsidRDefault="00D66609" w:rsidP="00A46175">
            <w:pPr>
              <w:pStyle w:val="Tabledata"/>
            </w:pPr>
            <w:r>
              <w:t>Halls Creek</w:t>
            </w:r>
          </w:p>
        </w:tc>
      </w:tr>
      <w:tr w:rsidR="00D66609" w14:paraId="430EBC89" w14:textId="77777777" w:rsidTr="00A46175">
        <w:tc>
          <w:tcPr>
            <w:tcW w:w="4584" w:type="dxa"/>
            <w:shd w:val="clear" w:color="auto" w:fill="DAD7CB"/>
          </w:tcPr>
          <w:p w14:paraId="497E028E" w14:textId="77777777" w:rsidR="00D66609" w:rsidRDefault="00D66609" w:rsidP="00A46175">
            <w:pPr>
              <w:pStyle w:val="Tableheading"/>
            </w:pPr>
            <w:r w:rsidRPr="007E1398">
              <w:t>Eastern Goldfields Regional Prison</w:t>
            </w:r>
          </w:p>
        </w:tc>
        <w:tc>
          <w:tcPr>
            <w:tcW w:w="4584" w:type="dxa"/>
            <w:vMerge/>
          </w:tcPr>
          <w:p w14:paraId="0234EA57" w14:textId="77777777" w:rsidR="00D66609" w:rsidRDefault="00D66609" w:rsidP="00A46175">
            <w:pPr>
              <w:pStyle w:val="Tabledata"/>
              <w:rPr>
                <w:b/>
              </w:rPr>
            </w:pPr>
          </w:p>
        </w:tc>
      </w:tr>
      <w:tr w:rsidR="00D66609" w14:paraId="626392EC" w14:textId="77777777" w:rsidTr="00A46175">
        <w:trPr>
          <w:trHeight w:val="1208"/>
        </w:trPr>
        <w:tc>
          <w:tcPr>
            <w:tcW w:w="4584" w:type="dxa"/>
          </w:tcPr>
          <w:p w14:paraId="27639EB4" w14:textId="77777777" w:rsidR="00F90A9A" w:rsidRDefault="00F90A9A" w:rsidP="00A46175">
            <w:pPr>
              <w:pStyle w:val="Tabledata"/>
            </w:pPr>
            <w:r>
              <w:t>Esperance</w:t>
            </w:r>
          </w:p>
          <w:p w14:paraId="33CC1C15" w14:textId="77777777" w:rsidR="00D66609" w:rsidRDefault="00D66609" w:rsidP="00A46175">
            <w:pPr>
              <w:pStyle w:val="Tabledata"/>
            </w:pPr>
            <w:r>
              <w:t>Eucla</w:t>
            </w:r>
          </w:p>
          <w:p w14:paraId="385E306A" w14:textId="77777777" w:rsidR="00F90A9A" w:rsidRPr="00A46175" w:rsidRDefault="00F90A9A" w:rsidP="00A46175">
            <w:pPr>
              <w:pStyle w:val="Tabledata"/>
            </w:pPr>
            <w:r>
              <w:t>Kalgoorlie</w:t>
            </w:r>
          </w:p>
          <w:p w14:paraId="107423BC" w14:textId="77777777" w:rsidR="00D66609" w:rsidRPr="00A46175" w:rsidRDefault="00D66609" w:rsidP="00A46175">
            <w:pPr>
              <w:pStyle w:val="Tabledata"/>
            </w:pPr>
            <w:r>
              <w:t>Laverton</w:t>
            </w:r>
          </w:p>
          <w:p w14:paraId="528B92E0" w14:textId="77777777" w:rsidR="00D66609" w:rsidRDefault="00D66609" w:rsidP="00A46175">
            <w:pPr>
              <w:pStyle w:val="Tabledata"/>
            </w:pPr>
            <w:r>
              <w:t>Leonara</w:t>
            </w:r>
          </w:p>
          <w:p w14:paraId="4F8E8253" w14:textId="77777777" w:rsidR="00F90A9A" w:rsidRDefault="00F90A9A" w:rsidP="00A46175">
            <w:pPr>
              <w:pStyle w:val="Tabledata"/>
              <w:rPr>
                <w:b/>
              </w:rPr>
            </w:pPr>
            <w:r>
              <w:t>Norseman</w:t>
            </w:r>
          </w:p>
        </w:tc>
        <w:tc>
          <w:tcPr>
            <w:tcW w:w="4584" w:type="dxa"/>
            <w:vMerge/>
          </w:tcPr>
          <w:p w14:paraId="292A9A06" w14:textId="77777777" w:rsidR="00D66609" w:rsidRDefault="00D66609" w:rsidP="00A46175">
            <w:pPr>
              <w:pStyle w:val="Tabledata"/>
              <w:rPr>
                <w:b/>
              </w:rPr>
            </w:pPr>
          </w:p>
        </w:tc>
      </w:tr>
    </w:tbl>
    <w:p w14:paraId="21085129" w14:textId="77777777" w:rsidR="00835C6C" w:rsidRPr="00835C6C" w:rsidRDefault="00835C6C" w:rsidP="00835C6C"/>
    <w:sectPr w:rsidR="00835C6C" w:rsidRPr="00835C6C" w:rsidSect="009814BD">
      <w:headerReference w:type="even" r:id="rId33"/>
      <w:headerReference w:type="default" r:id="rId34"/>
      <w:footerReference w:type="default" r:id="rId35"/>
      <w:headerReference w:type="first" r:id="rId36"/>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D69A" w14:textId="77777777" w:rsidR="00EF4B5A" w:rsidRDefault="00EF4B5A" w:rsidP="00D06E62">
      <w:r>
        <w:separator/>
      </w:r>
    </w:p>
  </w:endnote>
  <w:endnote w:type="continuationSeparator" w:id="0">
    <w:p w14:paraId="4E11D587" w14:textId="77777777" w:rsidR="00EF4B5A" w:rsidRDefault="00EF4B5A"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DDB" w14:textId="77777777" w:rsidR="00835C6C" w:rsidRDefault="00835C6C" w:rsidP="00A46175">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 xml:space="preserve">Custodial Ops </w:t>
    </w:r>
    <w:r w:rsidRPr="00627992">
      <w:rPr>
        <w:color w:val="C00000"/>
      </w:rPr>
      <w:t>intranet page</w:t>
    </w:r>
    <w:r w:rsidR="00A46175">
      <w:tab/>
    </w:r>
    <w:r w:rsidRPr="00627992">
      <w:t>Page</w:t>
    </w:r>
    <w:r>
      <w:t xml:space="preserve"> </w:t>
    </w:r>
    <w:r w:rsidRPr="00627992">
      <w:fldChar w:fldCharType="begin"/>
    </w:r>
    <w:r w:rsidRPr="00627992">
      <w:instrText xml:space="preserve"> PAGE  \* Arabic  \* MERGEFORMAT </w:instrText>
    </w:r>
    <w:r w:rsidRPr="00627992">
      <w:fldChar w:fldCharType="separate"/>
    </w:r>
    <w:r w:rsidR="00733E61">
      <w:rPr>
        <w:noProof/>
      </w:rPr>
      <w:t>9</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733E61">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4D6C" w14:textId="77777777" w:rsidR="00EF4B5A" w:rsidRDefault="00EF4B5A" w:rsidP="00D06E62">
      <w:r>
        <w:separator/>
      </w:r>
    </w:p>
  </w:footnote>
  <w:footnote w:type="continuationSeparator" w:id="0">
    <w:p w14:paraId="31489219" w14:textId="77777777" w:rsidR="00EF4B5A" w:rsidRDefault="00EF4B5A" w:rsidP="00D06E62">
      <w:r>
        <w:continuationSeparator/>
      </w:r>
    </w:p>
  </w:footnote>
  <w:footnote w:id="1">
    <w:p w14:paraId="65735921" w14:textId="77777777" w:rsidR="0077632B" w:rsidRDefault="0077632B">
      <w:pPr>
        <w:pStyle w:val="FootnoteText"/>
      </w:pPr>
      <w:r>
        <w:rPr>
          <w:rStyle w:val="FootnoteReference"/>
        </w:rPr>
        <w:footnoteRef/>
      </w:r>
      <w:r>
        <w:t xml:space="preserve"> Part IV </w:t>
      </w:r>
      <w:r w:rsidRPr="0077632B">
        <w:rPr>
          <w:i/>
        </w:rPr>
        <w:t>Prisons Act 1981</w:t>
      </w:r>
    </w:p>
  </w:footnote>
  <w:footnote w:id="2">
    <w:p w14:paraId="152F2956" w14:textId="58F00E36" w:rsidR="00835C6C" w:rsidRDefault="00835C6C">
      <w:pPr>
        <w:pStyle w:val="FootnoteText"/>
      </w:pPr>
      <w:r>
        <w:rPr>
          <w:rStyle w:val="FootnoteReference"/>
        </w:rPr>
        <w:footnoteRef/>
      </w:r>
      <w:r w:rsidR="00A46175">
        <w:t xml:space="preserve"> s </w:t>
      </w:r>
      <w:r>
        <w:t>16</w:t>
      </w:r>
      <w:r w:rsidR="006D4597">
        <w:t xml:space="preserve"> </w:t>
      </w:r>
      <w:r>
        <w:t xml:space="preserve">(5) </w:t>
      </w:r>
      <w:r w:rsidRPr="00835C6C">
        <w:rPr>
          <w:i/>
        </w:rPr>
        <w:t xml:space="preserve">Prisons </w:t>
      </w:r>
      <w:r>
        <w:rPr>
          <w:i/>
        </w:rPr>
        <w:t>Act 1981</w:t>
      </w:r>
    </w:p>
  </w:footnote>
  <w:footnote w:id="3">
    <w:p w14:paraId="4D51780C" w14:textId="77777777" w:rsidR="00835C6C" w:rsidRDefault="00835C6C" w:rsidP="00B95C92">
      <w:pPr>
        <w:pStyle w:val="FootnoteText"/>
      </w:pPr>
      <w:r>
        <w:rPr>
          <w:rStyle w:val="FootnoteReference"/>
        </w:rPr>
        <w:footnoteRef/>
      </w:r>
      <w:r w:rsidR="00A46175">
        <w:t xml:space="preserve"> s </w:t>
      </w:r>
      <w:r w:rsidRPr="007E1398">
        <w:t>16</w:t>
      </w:r>
      <w:r>
        <w:t xml:space="preserve"> </w:t>
      </w:r>
      <w:r w:rsidRPr="007D61F3">
        <w:rPr>
          <w:i/>
        </w:rPr>
        <w:t>Prisons Act 1981</w:t>
      </w:r>
      <w:r>
        <w:t xml:space="preserve"> </w:t>
      </w:r>
    </w:p>
  </w:footnote>
  <w:footnote w:id="4">
    <w:p w14:paraId="497739DA" w14:textId="77777777" w:rsidR="00835C6C" w:rsidRDefault="00835C6C">
      <w:pPr>
        <w:pStyle w:val="FootnoteText"/>
      </w:pPr>
      <w:r>
        <w:rPr>
          <w:rStyle w:val="FootnoteReference"/>
        </w:rPr>
        <w:footnoteRef/>
      </w:r>
      <w:r>
        <w:t xml:space="preserve"> division 7 </w:t>
      </w:r>
      <w:r w:rsidRPr="00B95C92">
        <w:rPr>
          <w:i/>
        </w:rPr>
        <w:t>Prisons Regulations 1982</w:t>
      </w:r>
    </w:p>
  </w:footnote>
  <w:footnote w:id="5">
    <w:p w14:paraId="7DF343B2" w14:textId="77777777" w:rsidR="00835C6C" w:rsidRDefault="00835C6C">
      <w:pPr>
        <w:pStyle w:val="FootnoteText"/>
      </w:pPr>
      <w:r>
        <w:rPr>
          <w:rStyle w:val="FootnoteReference"/>
        </w:rPr>
        <w:footnoteRef/>
      </w:r>
      <w:r w:rsidR="00A46175">
        <w:t xml:space="preserve"> s </w:t>
      </w:r>
      <w:r>
        <w:t xml:space="preserve">31 </w:t>
      </w:r>
      <w:r w:rsidRPr="00311D27">
        <w:rPr>
          <w:i/>
        </w:rPr>
        <w:t>Prisons Act 1981</w:t>
      </w:r>
    </w:p>
  </w:footnote>
  <w:footnote w:id="6">
    <w:p w14:paraId="78790C41" w14:textId="77777777" w:rsidR="00835C6C" w:rsidRDefault="00835C6C">
      <w:pPr>
        <w:pStyle w:val="FootnoteText"/>
      </w:pPr>
      <w:r>
        <w:rPr>
          <w:rStyle w:val="FootnoteReference"/>
        </w:rPr>
        <w:footnoteRef/>
      </w:r>
      <w:r>
        <w:t xml:space="preserve"> </w:t>
      </w:r>
      <w:r w:rsidRPr="00B95C92">
        <w:rPr>
          <w:i/>
        </w:rPr>
        <w:t>Coroners Act 1996</w:t>
      </w:r>
      <w:r>
        <w:t xml:space="preserve"> </w:t>
      </w:r>
      <w:r w:rsidR="00A46175">
        <w:t xml:space="preserve">and r </w:t>
      </w:r>
      <w:r>
        <w:t>74,</w:t>
      </w:r>
      <w:r w:rsidR="00A46175">
        <w:t xml:space="preserve"> r </w:t>
      </w:r>
      <w:r>
        <w:t xml:space="preserve">75 </w:t>
      </w:r>
      <w:r w:rsidRPr="00B95C92">
        <w:rPr>
          <w:i/>
        </w:rPr>
        <w:t>Prisons Regulations 1982</w:t>
      </w:r>
    </w:p>
  </w:footnote>
  <w:footnote w:id="7">
    <w:p w14:paraId="56D81EE9" w14:textId="0A33D197" w:rsidR="00835C6C" w:rsidRDefault="00835C6C">
      <w:pPr>
        <w:pStyle w:val="FootnoteText"/>
      </w:pPr>
      <w:r>
        <w:rPr>
          <w:rStyle w:val="FootnoteReference"/>
        </w:rPr>
        <w:footnoteRef/>
      </w:r>
      <w:r w:rsidR="00A46175">
        <w:t xml:space="preserve"> s </w:t>
      </w:r>
      <w:r>
        <w:t>16</w:t>
      </w:r>
      <w:r w:rsidR="006D4597">
        <w:t xml:space="preserve"> </w:t>
      </w:r>
      <w:r>
        <w:t>(7)</w:t>
      </w:r>
      <w:r w:rsidR="006D4597">
        <w:t xml:space="preserve"> </w:t>
      </w:r>
      <w:r>
        <w:t xml:space="preserve">(b) </w:t>
      </w:r>
      <w:r w:rsidRPr="00835C6C">
        <w:rPr>
          <w:i/>
        </w:rPr>
        <w:t>Prisons Act 1981</w:t>
      </w:r>
    </w:p>
  </w:footnote>
  <w:footnote w:id="8">
    <w:p w14:paraId="3C26AFE1" w14:textId="6136B111" w:rsidR="00835C6C" w:rsidRDefault="00835C6C">
      <w:pPr>
        <w:pStyle w:val="FootnoteText"/>
      </w:pPr>
      <w:r w:rsidRPr="00BD2E09">
        <w:rPr>
          <w:rStyle w:val="FootnoteReference"/>
        </w:rPr>
        <w:footnoteRef/>
      </w:r>
      <w:r w:rsidR="00A46175">
        <w:t xml:space="preserve"> s </w:t>
      </w:r>
      <w:r w:rsidRPr="00BD2E09">
        <w:t>16</w:t>
      </w:r>
      <w:r w:rsidR="006D4597">
        <w:t xml:space="preserve"> </w:t>
      </w:r>
      <w:r w:rsidRPr="00BD2E09">
        <w:t xml:space="preserve">(6) </w:t>
      </w:r>
      <w:r w:rsidRPr="00BD2E09">
        <w:rPr>
          <w:i/>
        </w:rPr>
        <w:t>Prisons Act 1981</w:t>
      </w:r>
      <w:r>
        <w:t xml:space="preserve"> </w:t>
      </w:r>
    </w:p>
  </w:footnote>
  <w:footnote w:id="9">
    <w:p w14:paraId="33361F69" w14:textId="00FC3D5D" w:rsidR="00835C6C" w:rsidRDefault="00835C6C" w:rsidP="000A4D8C">
      <w:pPr>
        <w:pStyle w:val="FootnoteText"/>
      </w:pPr>
      <w:r>
        <w:rPr>
          <w:rStyle w:val="FootnoteReference"/>
        </w:rPr>
        <w:footnoteRef/>
      </w:r>
      <w:r w:rsidR="00A46175">
        <w:t xml:space="preserve"> s </w:t>
      </w:r>
      <w:r>
        <w:t>16</w:t>
      </w:r>
      <w:r w:rsidR="006D4597">
        <w:t xml:space="preserve"> </w:t>
      </w:r>
      <w:r>
        <w:t xml:space="preserve">(19) </w:t>
      </w:r>
      <w:hyperlink r:id="rId1" w:history="1">
        <w:r w:rsidRPr="009F2701">
          <w:rPr>
            <w:i/>
            <w:lang w:eastAsia="en-AU"/>
          </w:rPr>
          <w:t>Prisons Act 1981</w:t>
        </w:r>
      </w:hyperlink>
      <w:r>
        <w:rPr>
          <w:lang w:eastAsia="en-AU"/>
        </w:rPr>
        <w:t xml:space="preserve"> </w:t>
      </w:r>
    </w:p>
  </w:footnote>
  <w:footnote w:id="10">
    <w:p w14:paraId="3E5FBC5D" w14:textId="77777777" w:rsidR="00835C6C" w:rsidRDefault="00835C6C" w:rsidP="000A4D8C">
      <w:pPr>
        <w:pStyle w:val="FootnoteText"/>
      </w:pPr>
      <w:r>
        <w:rPr>
          <w:rStyle w:val="FootnoteReference"/>
        </w:rPr>
        <w:footnoteRef/>
      </w:r>
      <w:r w:rsidR="00A46175">
        <w:t xml:space="preserve"> s </w:t>
      </w:r>
      <w:r>
        <w:t xml:space="preserve">33 </w:t>
      </w:r>
      <w:r w:rsidRPr="005856D2">
        <w:rPr>
          <w:i/>
        </w:rPr>
        <w:t>Prisons Act 1981</w:t>
      </w:r>
      <w:r>
        <w:t xml:space="preserve"> </w:t>
      </w:r>
    </w:p>
  </w:footnote>
  <w:footnote w:id="11">
    <w:p w14:paraId="79C9FE9E" w14:textId="77777777" w:rsidR="00835C6C" w:rsidRDefault="00835C6C">
      <w:pPr>
        <w:pStyle w:val="FootnoteText"/>
      </w:pPr>
      <w:r>
        <w:rPr>
          <w:rStyle w:val="FootnoteReference"/>
        </w:rPr>
        <w:footnoteRef/>
      </w:r>
      <w:r w:rsidR="00A46175">
        <w:t xml:space="preserve"> s </w:t>
      </w:r>
      <w:r>
        <w:t xml:space="preserve">16 </w:t>
      </w:r>
      <w:hyperlink r:id="rId2" w:history="1">
        <w:r w:rsidRPr="00541A19">
          <w:rPr>
            <w:bCs/>
            <w:i/>
            <w:lang w:eastAsia="en-AU"/>
          </w:rPr>
          <w:t>Prisons Act 1981</w:t>
        </w:r>
      </w:hyperlink>
      <w:r w:rsidRPr="00541A19">
        <w:rPr>
          <w:bCs/>
          <w:lang w:eastAsia="en-AU"/>
        </w:rPr>
        <w:t xml:space="preserve"> </w:t>
      </w:r>
    </w:p>
  </w:footnote>
  <w:footnote w:id="12">
    <w:p w14:paraId="5539F480" w14:textId="77777777" w:rsidR="00835C6C" w:rsidRDefault="00835C6C" w:rsidP="00835C6C">
      <w:pPr>
        <w:pStyle w:val="FootnoteText"/>
      </w:pPr>
      <w:r>
        <w:rPr>
          <w:rStyle w:val="FootnoteReference"/>
        </w:rPr>
        <w:footnoteRef/>
      </w:r>
      <w:r w:rsidR="00A46175">
        <w:t xml:space="preserve"> s </w:t>
      </w:r>
      <w:r>
        <w:t xml:space="preserve">16 </w:t>
      </w:r>
      <w:r>
        <w:rPr>
          <w:i/>
        </w:rPr>
        <w:t xml:space="preserve">Prisons Act 1981 </w:t>
      </w:r>
      <w:r w:rsidR="00A46175">
        <w:t xml:space="preserve">and r </w:t>
      </w:r>
      <w:r>
        <w:t xml:space="preserve">85 </w:t>
      </w:r>
      <w:r w:rsidRPr="001031E0">
        <w:t>Prisons Regulations 1982</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14EA" w14:textId="77777777" w:rsidR="00835C6C" w:rsidRDefault="00835C6C">
    <w:pPr>
      <w:pStyle w:val="Header"/>
    </w:pPr>
    <w:r>
      <w:rPr>
        <w:noProof/>
        <w:lang w:eastAsia="en-AU"/>
      </w:rPr>
      <mc:AlternateContent>
        <mc:Choice Requires="wps">
          <w:drawing>
            <wp:anchor distT="0" distB="0" distL="114300" distR="114300" simplePos="0" relativeHeight="251675648" behindDoc="1" locked="0" layoutInCell="0" allowOverlap="1" wp14:anchorId="7A9CA21D" wp14:editId="66043608">
              <wp:simplePos x="0" y="0"/>
              <wp:positionH relativeFrom="margin">
                <wp:align>center</wp:align>
              </wp:positionH>
              <wp:positionV relativeFrom="margin">
                <wp:align>center</wp:align>
              </wp:positionV>
              <wp:extent cx="7900670" cy="315595"/>
              <wp:effectExtent l="0" t="2714625" r="0" b="26847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635958"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9CA21D"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76635958"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A7FA" w14:textId="40BC4B3B" w:rsidR="00835C6C" w:rsidRDefault="00835C6C" w:rsidP="00663830">
    <w:pPr>
      <w:pStyle w:val="Header"/>
      <w:pBdr>
        <w:bottom w:val="single" w:sz="4" w:space="3" w:color="auto"/>
      </w:pBdr>
    </w:pPr>
    <w:r>
      <w:rPr>
        <w:noProof/>
        <w:lang w:eastAsia="en-AU"/>
      </w:rPr>
      <mc:AlternateContent>
        <mc:Choice Requires="wps">
          <w:drawing>
            <wp:anchor distT="0" distB="0" distL="114300" distR="114300" simplePos="0" relativeHeight="251677696" behindDoc="1" locked="0" layoutInCell="0" allowOverlap="1" wp14:anchorId="4A99C8B7" wp14:editId="08B5FF55">
              <wp:simplePos x="0" y="0"/>
              <wp:positionH relativeFrom="margin">
                <wp:align>center</wp:align>
              </wp:positionH>
              <wp:positionV relativeFrom="margin">
                <wp:align>center</wp:align>
              </wp:positionV>
              <wp:extent cx="7900670" cy="315595"/>
              <wp:effectExtent l="0" t="2714625" r="0" b="268478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BD8E22"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99C8B7"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08BD8E22"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AE5B32">
      <w:rPr>
        <w:noProof/>
      </w:rPr>
      <w:t>COPP 12.6 Prisoners in Western Australian (WA) Police Force Lockups</w:t>
    </w:r>
    <w:r>
      <w:rPr>
        <w:noProof/>
      </w:rPr>
      <w:fldChar w:fldCharType="end"/>
    </w:r>
    <w:r>
      <w:rPr>
        <w:noProof/>
      </w:rPr>
      <w:t xml:space="preserve"> &lt;v x.x&gt;</w:t>
    </w:r>
  </w:p>
  <w:p w14:paraId="53CE0480" w14:textId="77777777" w:rsidR="00835C6C" w:rsidRDefault="00835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B8AB" w14:textId="77777777" w:rsidR="00835C6C" w:rsidRDefault="00835C6C">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4911141B" wp14:editId="2F3D1A70">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5710A0EF" w14:textId="77777777" w:rsidR="00835C6C" w:rsidRPr="00464E72" w:rsidRDefault="00835C6C"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1141B"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5710A0EF" w14:textId="77777777" w:rsidR="00835C6C" w:rsidRPr="00464E72" w:rsidRDefault="00835C6C"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562C113B" wp14:editId="739DD667">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F1203" w14:textId="77777777" w:rsidR="00835C6C" w:rsidRDefault="00835C6C"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113B"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399F1203" w14:textId="77777777" w:rsidR="00835C6C" w:rsidRDefault="00835C6C"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093722AF" wp14:editId="233A5164">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837" w14:textId="77777777" w:rsidR="00835C6C" w:rsidRDefault="00835C6C">
    <w:pPr>
      <w:pStyle w:val="Header"/>
    </w:pPr>
    <w:r>
      <w:rPr>
        <w:noProof/>
        <w:lang w:eastAsia="en-AU"/>
      </w:rPr>
      <mc:AlternateContent>
        <mc:Choice Requires="wps">
          <w:drawing>
            <wp:anchor distT="0" distB="0" distL="114300" distR="114300" simplePos="0" relativeHeight="251681792" behindDoc="1" locked="0" layoutInCell="0" allowOverlap="1" wp14:anchorId="0F513D8D" wp14:editId="3AB303FE">
              <wp:simplePos x="0" y="0"/>
              <wp:positionH relativeFrom="margin">
                <wp:align>center</wp:align>
              </wp:positionH>
              <wp:positionV relativeFrom="margin">
                <wp:align>center</wp:align>
              </wp:positionV>
              <wp:extent cx="7900670" cy="315595"/>
              <wp:effectExtent l="0" t="2714625" r="0" b="268478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B86BE9"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13D8D" id="_x0000_t202" coordsize="21600,21600" o:spt="202" path="m,l,21600r21600,l21600,xe">
              <v:stroke joinstyle="miter"/>
              <v:path gradientshapeok="t" o:connecttype="rect"/>
            </v:shapetype>
            <v:shape id="WordArt 5" o:spid="_x0000_s1030"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05B86BE9"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7DF9" w14:textId="3BF60FD4" w:rsidR="00835C6C" w:rsidRDefault="00835C6C"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1A0C6D">
      <w:rPr>
        <w:noProof/>
      </w:rPr>
      <w:t>COPP 12.6 Prisoners in Western Australian (WA) Police Force Lockups</w:t>
    </w:r>
    <w:r>
      <w:rPr>
        <w:noProof/>
      </w:rPr>
      <w:fldChar w:fldCharType="end"/>
    </w:r>
    <w:r w:rsidR="005D7BC4">
      <w:rPr>
        <w:noProof/>
      </w:rPr>
      <w:t xml:space="preserve"> v</w:t>
    </w:r>
    <w:r w:rsidR="00D66F41">
      <w:rPr>
        <w:noProof/>
      </w:rPr>
      <w:t>4</w:t>
    </w:r>
    <w:r w:rsidR="005D7BC4">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4E2" w14:textId="77777777" w:rsidR="00835C6C" w:rsidRDefault="00835C6C">
    <w:pPr>
      <w:pStyle w:val="Header"/>
    </w:pPr>
    <w:r>
      <w:rPr>
        <w:noProof/>
        <w:lang w:eastAsia="en-AU"/>
      </w:rPr>
      <mc:AlternateContent>
        <mc:Choice Requires="wps">
          <w:drawing>
            <wp:anchor distT="0" distB="0" distL="114300" distR="114300" simplePos="0" relativeHeight="251679744" behindDoc="1" locked="0" layoutInCell="0" allowOverlap="1" wp14:anchorId="00AD02D7" wp14:editId="0852A43C">
              <wp:simplePos x="0" y="0"/>
              <wp:positionH relativeFrom="margin">
                <wp:align>center</wp:align>
              </wp:positionH>
              <wp:positionV relativeFrom="margin">
                <wp:align>center</wp:align>
              </wp:positionV>
              <wp:extent cx="7900670" cy="315595"/>
              <wp:effectExtent l="0" t="2714625" r="0" b="268478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9D48F"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AD02D7" id="_x0000_t202" coordsize="21600,21600" o:spt="202" path="m,l,21600r21600,l21600,xe">
              <v:stroke joinstyle="miter"/>
              <v:path gradientshapeok="t" o:connecttype="rect"/>
            </v:shapetype>
            <v:shape id="WordArt 4" o:spid="_x0000_s1031"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0799D48F" w14:textId="77777777" w:rsidR="00835C6C" w:rsidRDefault="00835C6C" w:rsidP="00F0178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800EE"/>
    <w:multiLevelType w:val="hybridMultilevel"/>
    <w:tmpl w:val="D20C99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8113D"/>
    <w:multiLevelType w:val="multilevel"/>
    <w:tmpl w:val="CFBAC9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993C3E"/>
    <w:multiLevelType w:val="hybridMultilevel"/>
    <w:tmpl w:val="3CDE6492"/>
    <w:lvl w:ilvl="0" w:tplc="9A3A33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F5E70"/>
    <w:multiLevelType w:val="hybridMultilevel"/>
    <w:tmpl w:val="354CFB02"/>
    <w:lvl w:ilvl="0" w:tplc="47AC12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E5412F"/>
    <w:multiLevelType w:val="hybridMultilevel"/>
    <w:tmpl w:val="76F6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B06D7"/>
    <w:multiLevelType w:val="hybridMultilevel"/>
    <w:tmpl w:val="DFEACEE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78E5789"/>
    <w:multiLevelType w:val="hybridMultilevel"/>
    <w:tmpl w:val="D00E3E4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95B730A"/>
    <w:multiLevelType w:val="hybridMultilevel"/>
    <w:tmpl w:val="339C64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B445DD"/>
    <w:multiLevelType w:val="hybridMultilevel"/>
    <w:tmpl w:val="DD1E7B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49739D"/>
    <w:multiLevelType w:val="multilevel"/>
    <w:tmpl w:val="9634F046"/>
    <w:lvl w:ilvl="0">
      <w:start w:val="1"/>
      <w:numFmt w:val="decimal"/>
      <w:isLgl/>
      <w:lvlText w:val="%1."/>
      <w:lvlJc w:val="left"/>
      <w:pPr>
        <w:tabs>
          <w:tab w:val="num" w:pos="747"/>
        </w:tabs>
        <w:ind w:left="747" w:hanging="747"/>
      </w:pPr>
      <w:rPr>
        <w:rFonts w:ascii="Arial Bold" w:hAnsi="Arial Bold" w:hint="default"/>
        <w:b/>
        <w:i w:val="0"/>
        <w:caps w:val="0"/>
        <w:strike w:val="0"/>
        <w:dstrike w:val="0"/>
        <w:vanish w:val="0"/>
        <w:color w:val="auto"/>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747"/>
        </w:tabs>
        <w:ind w:left="747" w:hanging="567"/>
      </w:pPr>
      <w:rPr>
        <w:rFonts w:ascii="Arial" w:hAnsi="Arial" w:cs="Arial" w:hint="default"/>
        <w:b w:val="0"/>
        <w:i w:val="0"/>
        <w:color w:val="333333"/>
        <w:sz w:val="24"/>
        <w:szCs w:val="24"/>
      </w:rPr>
    </w:lvl>
    <w:lvl w:ilvl="3">
      <w:start w:val="1"/>
      <w:numFmt w:val="none"/>
      <w:lvlRestart w:val="0"/>
      <w:lvlText w:val="12.2.1.1"/>
      <w:lvlJc w:val="left"/>
      <w:pPr>
        <w:tabs>
          <w:tab w:val="num" w:pos="567"/>
        </w:tabs>
        <w:ind w:left="1134" w:hanging="567"/>
      </w:pPr>
      <w:rPr>
        <w:rFonts w:ascii="Arial" w:hAnsi="Arial"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AE4F68"/>
    <w:multiLevelType w:val="hybridMultilevel"/>
    <w:tmpl w:val="304425A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E63A2"/>
    <w:multiLevelType w:val="hybridMultilevel"/>
    <w:tmpl w:val="150A8F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711E85"/>
    <w:multiLevelType w:val="hybridMultilevel"/>
    <w:tmpl w:val="F97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9458B"/>
    <w:multiLevelType w:val="hybridMultilevel"/>
    <w:tmpl w:val="57F26FB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B605836"/>
    <w:multiLevelType w:val="hybridMultilevel"/>
    <w:tmpl w:val="C5D28C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E618AB"/>
    <w:multiLevelType w:val="hybridMultilevel"/>
    <w:tmpl w:val="FE0EFB14"/>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3" w15:restartNumberingAfterBreak="0">
    <w:nsid w:val="5A177DE2"/>
    <w:multiLevelType w:val="hybridMultilevel"/>
    <w:tmpl w:val="1D78F722"/>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4" w15:restartNumberingAfterBreak="0">
    <w:nsid w:val="5F1614E3"/>
    <w:multiLevelType w:val="hybridMultilevel"/>
    <w:tmpl w:val="09DC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6C74A5"/>
    <w:multiLevelType w:val="hybridMultilevel"/>
    <w:tmpl w:val="387E99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0F785A"/>
    <w:multiLevelType w:val="hybridMultilevel"/>
    <w:tmpl w:val="D920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5A6655"/>
    <w:multiLevelType w:val="hybridMultilevel"/>
    <w:tmpl w:val="0A1AC9F8"/>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7517579D"/>
    <w:multiLevelType w:val="hybridMultilevel"/>
    <w:tmpl w:val="C41ABE8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013A4E"/>
    <w:multiLevelType w:val="hybridMultilevel"/>
    <w:tmpl w:val="7B2CA6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7657DB"/>
    <w:multiLevelType w:val="hybridMultilevel"/>
    <w:tmpl w:val="4442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8238620">
    <w:abstractNumId w:val="18"/>
  </w:num>
  <w:num w:numId="2" w16cid:durableId="542013098">
    <w:abstractNumId w:val="12"/>
  </w:num>
  <w:num w:numId="3" w16cid:durableId="515577763">
    <w:abstractNumId w:val="2"/>
  </w:num>
  <w:num w:numId="4" w16cid:durableId="968322026">
    <w:abstractNumId w:val="0"/>
  </w:num>
  <w:num w:numId="5" w16cid:durableId="1701324141">
    <w:abstractNumId w:val="20"/>
  </w:num>
  <w:num w:numId="6" w16cid:durableId="1683165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86281">
    <w:abstractNumId w:val="14"/>
  </w:num>
  <w:num w:numId="8" w16cid:durableId="423499484">
    <w:abstractNumId w:val="29"/>
  </w:num>
  <w:num w:numId="9" w16cid:durableId="875891478">
    <w:abstractNumId w:val="5"/>
  </w:num>
  <w:num w:numId="10" w16cid:durableId="234316637">
    <w:abstractNumId w:val="19"/>
  </w:num>
  <w:num w:numId="11" w16cid:durableId="854076935">
    <w:abstractNumId w:val="16"/>
  </w:num>
  <w:num w:numId="12" w16cid:durableId="947346344">
    <w:abstractNumId w:val="11"/>
  </w:num>
  <w:num w:numId="13" w16cid:durableId="1067613166">
    <w:abstractNumId w:val="17"/>
  </w:num>
  <w:num w:numId="14" w16cid:durableId="1178422189">
    <w:abstractNumId w:val="2"/>
  </w:num>
  <w:num w:numId="15" w16cid:durableId="742070073">
    <w:abstractNumId w:val="22"/>
  </w:num>
  <w:num w:numId="16" w16cid:durableId="1604222503">
    <w:abstractNumId w:val="1"/>
  </w:num>
  <w:num w:numId="17" w16cid:durableId="1403068884">
    <w:abstractNumId w:val="24"/>
  </w:num>
  <w:num w:numId="18" w16cid:durableId="1987589316">
    <w:abstractNumId w:val="7"/>
  </w:num>
  <w:num w:numId="19" w16cid:durableId="1770391519">
    <w:abstractNumId w:val="23"/>
  </w:num>
  <w:num w:numId="20" w16cid:durableId="1281568401">
    <w:abstractNumId w:val="10"/>
  </w:num>
  <w:num w:numId="21" w16cid:durableId="1356077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021873">
    <w:abstractNumId w:val="15"/>
  </w:num>
  <w:num w:numId="23" w16cid:durableId="1040521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0117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304632">
    <w:abstractNumId w:val="2"/>
  </w:num>
  <w:num w:numId="26" w16cid:durableId="1520510997">
    <w:abstractNumId w:val="2"/>
  </w:num>
  <w:num w:numId="27" w16cid:durableId="874849917">
    <w:abstractNumId w:val="2"/>
  </w:num>
  <w:num w:numId="28" w16cid:durableId="1058093394">
    <w:abstractNumId w:val="6"/>
  </w:num>
  <w:num w:numId="29" w16cid:durableId="13926348">
    <w:abstractNumId w:val="26"/>
  </w:num>
  <w:num w:numId="30" w16cid:durableId="1416390789">
    <w:abstractNumId w:val="27"/>
  </w:num>
  <w:num w:numId="31" w16cid:durableId="410353309">
    <w:abstractNumId w:val="9"/>
  </w:num>
  <w:num w:numId="32" w16cid:durableId="1257204588">
    <w:abstractNumId w:val="30"/>
  </w:num>
  <w:num w:numId="33" w16cid:durableId="1122070250">
    <w:abstractNumId w:val="25"/>
  </w:num>
  <w:num w:numId="34" w16cid:durableId="682442041">
    <w:abstractNumId w:val="2"/>
  </w:num>
  <w:num w:numId="35" w16cid:durableId="788622985">
    <w:abstractNumId w:val="2"/>
  </w:num>
  <w:num w:numId="36" w16cid:durableId="731777751">
    <w:abstractNumId w:val="28"/>
  </w:num>
  <w:num w:numId="37" w16cid:durableId="1874071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5528166">
    <w:abstractNumId w:val="2"/>
  </w:num>
  <w:num w:numId="39" w16cid:durableId="1598096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895273">
    <w:abstractNumId w:val="4"/>
  </w:num>
  <w:num w:numId="41" w16cid:durableId="1737240823">
    <w:abstractNumId w:val="3"/>
  </w:num>
  <w:num w:numId="42" w16cid:durableId="1694527923">
    <w:abstractNumId w:val="31"/>
  </w:num>
  <w:num w:numId="43" w16cid:durableId="16736363">
    <w:abstractNumId w:val="8"/>
  </w:num>
  <w:num w:numId="44" w16cid:durableId="1656684981">
    <w:abstractNumId w:val="13"/>
  </w:num>
  <w:num w:numId="45" w16cid:durableId="1673284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9062311">
    <w:abstractNumId w:val="21"/>
  </w:num>
  <w:num w:numId="47" w16cid:durableId="709035834">
    <w:abstractNumId w:val="2"/>
  </w:num>
  <w:num w:numId="48" w16cid:durableId="1367173050">
    <w:abstractNumId w:val="2"/>
  </w:num>
  <w:num w:numId="49" w16cid:durableId="194183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YS2PTqcES7oYisMrerOozrxx4Vo2xBM5xH+mTTH6omQlQvfjCgb/A5HDo2rGEszqcsevMDhEx6lXuN6a7jRUw==" w:salt="vNuwgz2RMfOBY0gYSK4vOg=="/>
  <w:defaultTabStop w:val="720"/>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B14BC2"/>
    <w:rsid w:val="00016407"/>
    <w:rsid w:val="00022A0F"/>
    <w:rsid w:val="00025603"/>
    <w:rsid w:val="00045F51"/>
    <w:rsid w:val="000606BB"/>
    <w:rsid w:val="00065A5C"/>
    <w:rsid w:val="000755EE"/>
    <w:rsid w:val="00086BD7"/>
    <w:rsid w:val="000925A5"/>
    <w:rsid w:val="00095122"/>
    <w:rsid w:val="00097D12"/>
    <w:rsid w:val="000A00E5"/>
    <w:rsid w:val="000A013B"/>
    <w:rsid w:val="000A4D8C"/>
    <w:rsid w:val="000B6320"/>
    <w:rsid w:val="000C18F5"/>
    <w:rsid w:val="000C77AD"/>
    <w:rsid w:val="000D008C"/>
    <w:rsid w:val="000D69A3"/>
    <w:rsid w:val="000E684A"/>
    <w:rsid w:val="000F7531"/>
    <w:rsid w:val="001031E0"/>
    <w:rsid w:val="001035D6"/>
    <w:rsid w:val="00106E55"/>
    <w:rsid w:val="001158E9"/>
    <w:rsid w:val="00126611"/>
    <w:rsid w:val="00131037"/>
    <w:rsid w:val="001335C0"/>
    <w:rsid w:val="00136B67"/>
    <w:rsid w:val="001376FC"/>
    <w:rsid w:val="00144A1B"/>
    <w:rsid w:val="00146739"/>
    <w:rsid w:val="00150099"/>
    <w:rsid w:val="00155864"/>
    <w:rsid w:val="0017413D"/>
    <w:rsid w:val="001757E8"/>
    <w:rsid w:val="001823BB"/>
    <w:rsid w:val="00193880"/>
    <w:rsid w:val="001A0C6D"/>
    <w:rsid w:val="001A6683"/>
    <w:rsid w:val="001D08CF"/>
    <w:rsid w:val="001F3998"/>
    <w:rsid w:val="001F42FC"/>
    <w:rsid w:val="002178FA"/>
    <w:rsid w:val="002457AA"/>
    <w:rsid w:val="00245869"/>
    <w:rsid w:val="00250C62"/>
    <w:rsid w:val="00254316"/>
    <w:rsid w:val="0025465B"/>
    <w:rsid w:val="00255583"/>
    <w:rsid w:val="0027609B"/>
    <w:rsid w:val="00283A97"/>
    <w:rsid w:val="00285795"/>
    <w:rsid w:val="002866BF"/>
    <w:rsid w:val="00293E3B"/>
    <w:rsid w:val="002A1D98"/>
    <w:rsid w:val="002B0FBA"/>
    <w:rsid w:val="002D0E3F"/>
    <w:rsid w:val="002D10B6"/>
    <w:rsid w:val="002E16B4"/>
    <w:rsid w:val="002E5756"/>
    <w:rsid w:val="002E6F7B"/>
    <w:rsid w:val="002F7E2E"/>
    <w:rsid w:val="00302144"/>
    <w:rsid w:val="00302474"/>
    <w:rsid w:val="0030639F"/>
    <w:rsid w:val="00307964"/>
    <w:rsid w:val="00311D27"/>
    <w:rsid w:val="00321CB2"/>
    <w:rsid w:val="00337C0D"/>
    <w:rsid w:val="00344CDA"/>
    <w:rsid w:val="00380258"/>
    <w:rsid w:val="00380E16"/>
    <w:rsid w:val="0038540E"/>
    <w:rsid w:val="003A291A"/>
    <w:rsid w:val="003C197D"/>
    <w:rsid w:val="003C1B03"/>
    <w:rsid w:val="003C1B90"/>
    <w:rsid w:val="003C5E28"/>
    <w:rsid w:val="003D3E3F"/>
    <w:rsid w:val="003D708E"/>
    <w:rsid w:val="003E1656"/>
    <w:rsid w:val="003E1DA0"/>
    <w:rsid w:val="003E6CE1"/>
    <w:rsid w:val="00400DF5"/>
    <w:rsid w:val="004039E2"/>
    <w:rsid w:val="0040796F"/>
    <w:rsid w:val="00425141"/>
    <w:rsid w:val="004351B4"/>
    <w:rsid w:val="00453515"/>
    <w:rsid w:val="00457598"/>
    <w:rsid w:val="00464E72"/>
    <w:rsid w:val="00467B09"/>
    <w:rsid w:val="00474BF5"/>
    <w:rsid w:val="004852A8"/>
    <w:rsid w:val="00490500"/>
    <w:rsid w:val="004A61FA"/>
    <w:rsid w:val="004B214B"/>
    <w:rsid w:val="004B307A"/>
    <w:rsid w:val="004B6106"/>
    <w:rsid w:val="004C040F"/>
    <w:rsid w:val="004D040B"/>
    <w:rsid w:val="004D502E"/>
    <w:rsid w:val="004D6882"/>
    <w:rsid w:val="004E571B"/>
    <w:rsid w:val="00505C3E"/>
    <w:rsid w:val="00512041"/>
    <w:rsid w:val="00521AF0"/>
    <w:rsid w:val="00554385"/>
    <w:rsid w:val="0056255C"/>
    <w:rsid w:val="005657AE"/>
    <w:rsid w:val="00566347"/>
    <w:rsid w:val="00567EDA"/>
    <w:rsid w:val="00576EFF"/>
    <w:rsid w:val="00577044"/>
    <w:rsid w:val="005856D2"/>
    <w:rsid w:val="00592112"/>
    <w:rsid w:val="005A1757"/>
    <w:rsid w:val="005A3EA6"/>
    <w:rsid w:val="005C6F15"/>
    <w:rsid w:val="005D7AA7"/>
    <w:rsid w:val="005D7BC4"/>
    <w:rsid w:val="005E566A"/>
    <w:rsid w:val="005F6DA9"/>
    <w:rsid w:val="00616312"/>
    <w:rsid w:val="00627992"/>
    <w:rsid w:val="006335A4"/>
    <w:rsid w:val="00634C54"/>
    <w:rsid w:val="006444FB"/>
    <w:rsid w:val="00644A2D"/>
    <w:rsid w:val="00653434"/>
    <w:rsid w:val="00656F4A"/>
    <w:rsid w:val="00661263"/>
    <w:rsid w:val="0066326F"/>
    <w:rsid w:val="006634D0"/>
    <w:rsid w:val="00663830"/>
    <w:rsid w:val="006650DF"/>
    <w:rsid w:val="006774E4"/>
    <w:rsid w:val="006931CF"/>
    <w:rsid w:val="00693640"/>
    <w:rsid w:val="00694A6C"/>
    <w:rsid w:val="006A07B8"/>
    <w:rsid w:val="006A3EEB"/>
    <w:rsid w:val="006B2AD2"/>
    <w:rsid w:val="006B3601"/>
    <w:rsid w:val="006B4BE7"/>
    <w:rsid w:val="006C4668"/>
    <w:rsid w:val="006D35C2"/>
    <w:rsid w:val="006D4597"/>
    <w:rsid w:val="00701313"/>
    <w:rsid w:val="00702AC6"/>
    <w:rsid w:val="00711C79"/>
    <w:rsid w:val="00715807"/>
    <w:rsid w:val="00733E61"/>
    <w:rsid w:val="007444AC"/>
    <w:rsid w:val="00752A9E"/>
    <w:rsid w:val="00757BEC"/>
    <w:rsid w:val="00775238"/>
    <w:rsid w:val="0077632B"/>
    <w:rsid w:val="007D3C6F"/>
    <w:rsid w:val="007D61F3"/>
    <w:rsid w:val="007E1398"/>
    <w:rsid w:val="007E67F4"/>
    <w:rsid w:val="008000C6"/>
    <w:rsid w:val="00803710"/>
    <w:rsid w:val="008076D2"/>
    <w:rsid w:val="008114B3"/>
    <w:rsid w:val="00833D89"/>
    <w:rsid w:val="00835484"/>
    <w:rsid w:val="00835C6C"/>
    <w:rsid w:val="00844223"/>
    <w:rsid w:val="00853F99"/>
    <w:rsid w:val="00857A48"/>
    <w:rsid w:val="0086067A"/>
    <w:rsid w:val="008921C1"/>
    <w:rsid w:val="008976B1"/>
    <w:rsid w:val="008B2964"/>
    <w:rsid w:val="008B5E88"/>
    <w:rsid w:val="008C366F"/>
    <w:rsid w:val="008C71FC"/>
    <w:rsid w:val="008D3DE0"/>
    <w:rsid w:val="008D51C1"/>
    <w:rsid w:val="008E05B0"/>
    <w:rsid w:val="008E2FA9"/>
    <w:rsid w:val="008E3076"/>
    <w:rsid w:val="009042B1"/>
    <w:rsid w:val="0091065E"/>
    <w:rsid w:val="00930B45"/>
    <w:rsid w:val="0096091F"/>
    <w:rsid w:val="00960A6F"/>
    <w:rsid w:val="00962823"/>
    <w:rsid w:val="00963E68"/>
    <w:rsid w:val="0096654F"/>
    <w:rsid w:val="00967CB6"/>
    <w:rsid w:val="009814BD"/>
    <w:rsid w:val="009962C0"/>
    <w:rsid w:val="009A19E1"/>
    <w:rsid w:val="009B751B"/>
    <w:rsid w:val="009C5A53"/>
    <w:rsid w:val="009D0302"/>
    <w:rsid w:val="009F2701"/>
    <w:rsid w:val="00A0667C"/>
    <w:rsid w:val="00A07A77"/>
    <w:rsid w:val="00A2041E"/>
    <w:rsid w:val="00A21F1A"/>
    <w:rsid w:val="00A2635F"/>
    <w:rsid w:val="00A37664"/>
    <w:rsid w:val="00A437BE"/>
    <w:rsid w:val="00A43D05"/>
    <w:rsid w:val="00A46175"/>
    <w:rsid w:val="00A547EA"/>
    <w:rsid w:val="00A820CD"/>
    <w:rsid w:val="00AA3117"/>
    <w:rsid w:val="00AA4728"/>
    <w:rsid w:val="00AA60A0"/>
    <w:rsid w:val="00AB4BCA"/>
    <w:rsid w:val="00AB5274"/>
    <w:rsid w:val="00AC25C2"/>
    <w:rsid w:val="00AC5EAE"/>
    <w:rsid w:val="00AD22D7"/>
    <w:rsid w:val="00AE3362"/>
    <w:rsid w:val="00AE5B32"/>
    <w:rsid w:val="00AE631A"/>
    <w:rsid w:val="00AF4C82"/>
    <w:rsid w:val="00AF7DDC"/>
    <w:rsid w:val="00B02B08"/>
    <w:rsid w:val="00B14BC2"/>
    <w:rsid w:val="00B35B9F"/>
    <w:rsid w:val="00B465ED"/>
    <w:rsid w:val="00B50100"/>
    <w:rsid w:val="00B83075"/>
    <w:rsid w:val="00B937D8"/>
    <w:rsid w:val="00B95C92"/>
    <w:rsid w:val="00BB11AC"/>
    <w:rsid w:val="00BD2E09"/>
    <w:rsid w:val="00BF0FF1"/>
    <w:rsid w:val="00C00F0D"/>
    <w:rsid w:val="00C06A93"/>
    <w:rsid w:val="00C0767A"/>
    <w:rsid w:val="00C11C3C"/>
    <w:rsid w:val="00C15484"/>
    <w:rsid w:val="00C16233"/>
    <w:rsid w:val="00C2101E"/>
    <w:rsid w:val="00C24301"/>
    <w:rsid w:val="00C34111"/>
    <w:rsid w:val="00C44FF7"/>
    <w:rsid w:val="00C64874"/>
    <w:rsid w:val="00C774B8"/>
    <w:rsid w:val="00C8272F"/>
    <w:rsid w:val="00C90D79"/>
    <w:rsid w:val="00CA220B"/>
    <w:rsid w:val="00CA2A58"/>
    <w:rsid w:val="00CC1AE1"/>
    <w:rsid w:val="00CC47AF"/>
    <w:rsid w:val="00CC5618"/>
    <w:rsid w:val="00CD3BE6"/>
    <w:rsid w:val="00CE1A06"/>
    <w:rsid w:val="00CF193B"/>
    <w:rsid w:val="00D05B49"/>
    <w:rsid w:val="00D06565"/>
    <w:rsid w:val="00D06E62"/>
    <w:rsid w:val="00D11E8A"/>
    <w:rsid w:val="00D12E11"/>
    <w:rsid w:val="00D20E41"/>
    <w:rsid w:val="00D30A87"/>
    <w:rsid w:val="00D44432"/>
    <w:rsid w:val="00D52373"/>
    <w:rsid w:val="00D6029F"/>
    <w:rsid w:val="00D66609"/>
    <w:rsid w:val="00D66F41"/>
    <w:rsid w:val="00D820B5"/>
    <w:rsid w:val="00D9330E"/>
    <w:rsid w:val="00D936A1"/>
    <w:rsid w:val="00D941C8"/>
    <w:rsid w:val="00DD091A"/>
    <w:rsid w:val="00DF778C"/>
    <w:rsid w:val="00E102E9"/>
    <w:rsid w:val="00E3062F"/>
    <w:rsid w:val="00E42A3A"/>
    <w:rsid w:val="00E46EE2"/>
    <w:rsid w:val="00E50906"/>
    <w:rsid w:val="00E56751"/>
    <w:rsid w:val="00E631D6"/>
    <w:rsid w:val="00E64172"/>
    <w:rsid w:val="00E81FFC"/>
    <w:rsid w:val="00E84D53"/>
    <w:rsid w:val="00EA2F74"/>
    <w:rsid w:val="00EA5763"/>
    <w:rsid w:val="00EA6531"/>
    <w:rsid w:val="00EA7EAC"/>
    <w:rsid w:val="00EB777B"/>
    <w:rsid w:val="00EC11D3"/>
    <w:rsid w:val="00EC2113"/>
    <w:rsid w:val="00EC5AF1"/>
    <w:rsid w:val="00EC7AB2"/>
    <w:rsid w:val="00EF1CBD"/>
    <w:rsid w:val="00EF2200"/>
    <w:rsid w:val="00EF4B5A"/>
    <w:rsid w:val="00F0178B"/>
    <w:rsid w:val="00F45492"/>
    <w:rsid w:val="00F46DC4"/>
    <w:rsid w:val="00F52E7A"/>
    <w:rsid w:val="00F530C7"/>
    <w:rsid w:val="00F60389"/>
    <w:rsid w:val="00F60C9B"/>
    <w:rsid w:val="00F74A73"/>
    <w:rsid w:val="00F80A6A"/>
    <w:rsid w:val="00F90A9A"/>
    <w:rsid w:val="00F933CE"/>
    <w:rsid w:val="00F948E8"/>
    <w:rsid w:val="00F94949"/>
    <w:rsid w:val="00FA1D8B"/>
    <w:rsid w:val="00FA430D"/>
    <w:rsid w:val="00FA607D"/>
    <w:rsid w:val="00FB6B31"/>
    <w:rsid w:val="00FE207C"/>
    <w:rsid w:val="00FE4032"/>
    <w:rsid w:val="00FF01D7"/>
    <w:rsid w:val="00FF1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8BB8E79"/>
  <w14:defaultImageDpi w14:val="300"/>
  <w15:docId w15:val="{3CC49779-CE7E-40C3-BA84-8D36FD4C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F99"/>
    <w:rPr>
      <w:rFonts w:ascii="Arial" w:hAnsi="Arial"/>
      <w:sz w:val="24"/>
      <w:szCs w:val="24"/>
      <w:lang w:eastAsia="en-US"/>
    </w:rPr>
  </w:style>
  <w:style w:type="paragraph" w:styleId="Heading1">
    <w:name w:val="heading 1"/>
    <w:basedOn w:val="Normal"/>
    <w:next w:val="Normal"/>
    <w:link w:val="Heading1Char"/>
    <w:uiPriority w:val="9"/>
    <w:qFormat/>
    <w:rsid w:val="00A46175"/>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A46175"/>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A46175"/>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A46175"/>
    <w:rPr>
      <w:rFonts w:ascii="Arial" w:eastAsia="MS Gothic" w:hAnsi="Arial"/>
      <w:b/>
      <w:color w:val="000000" w:themeColor="text1"/>
      <w:sz w:val="24"/>
      <w:szCs w:val="26"/>
      <w:lang w:eastAsia="en-US"/>
    </w:rPr>
  </w:style>
  <w:style w:type="character" w:customStyle="1" w:styleId="Heading3Char">
    <w:name w:val="Heading 3 Char"/>
    <w:link w:val="Heading3"/>
    <w:uiPriority w:val="9"/>
    <w:semiHidden/>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321CB2"/>
    <w:pPr>
      <w:tabs>
        <w:tab w:val="left" w:pos="440"/>
        <w:tab w:val="right" w:leader="dot" w:pos="9168"/>
      </w:tabs>
      <w:spacing w:after="100"/>
    </w:pPr>
    <w:rPr>
      <w:b/>
    </w:rPr>
  </w:style>
  <w:style w:type="paragraph" w:styleId="TOC2">
    <w:name w:val="toc 2"/>
    <w:basedOn w:val="Normal"/>
    <w:next w:val="Normal"/>
    <w:autoRedefine/>
    <w:uiPriority w:val="39"/>
    <w:unhideWhenUsed/>
    <w:rsid w:val="008C71FC"/>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4"/>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B14BC2"/>
    <w:rPr>
      <w:sz w:val="16"/>
      <w:szCs w:val="16"/>
    </w:rPr>
  </w:style>
  <w:style w:type="paragraph" w:styleId="CommentText">
    <w:name w:val="annotation text"/>
    <w:basedOn w:val="Normal"/>
    <w:link w:val="CommentTextChar"/>
    <w:uiPriority w:val="99"/>
    <w:semiHidden/>
    <w:unhideWhenUsed/>
    <w:rsid w:val="00B14BC2"/>
    <w:rPr>
      <w:sz w:val="20"/>
      <w:szCs w:val="20"/>
    </w:rPr>
  </w:style>
  <w:style w:type="character" w:customStyle="1" w:styleId="CommentTextChar">
    <w:name w:val="Comment Text Char"/>
    <w:basedOn w:val="DefaultParagraphFont"/>
    <w:link w:val="CommentText"/>
    <w:uiPriority w:val="99"/>
    <w:semiHidden/>
    <w:rsid w:val="00B14BC2"/>
    <w:rPr>
      <w:rFonts w:ascii="Arial" w:hAnsi="Arial"/>
      <w:lang w:eastAsia="en-US"/>
    </w:rPr>
  </w:style>
  <w:style w:type="paragraph" w:customStyle="1" w:styleId="heading2bold">
    <w:name w:val="heading 2 bold"/>
    <w:basedOn w:val="Normal"/>
    <w:rsid w:val="007E1398"/>
    <w:pPr>
      <w:tabs>
        <w:tab w:val="num" w:pos="567"/>
      </w:tabs>
      <w:ind w:left="567" w:hanging="567"/>
    </w:pPr>
    <w:rPr>
      <w:rFonts w:eastAsia="Times New Roman"/>
      <w:lang w:eastAsia="en-AU"/>
    </w:rPr>
  </w:style>
  <w:style w:type="paragraph" w:styleId="FootnoteText">
    <w:name w:val="footnote text"/>
    <w:basedOn w:val="Normal"/>
    <w:link w:val="FootnoteTextChar"/>
    <w:uiPriority w:val="99"/>
    <w:semiHidden/>
    <w:unhideWhenUsed/>
    <w:rsid w:val="007E1398"/>
    <w:rPr>
      <w:sz w:val="20"/>
      <w:szCs w:val="20"/>
    </w:rPr>
  </w:style>
  <w:style w:type="character" w:customStyle="1" w:styleId="FootnoteTextChar">
    <w:name w:val="Footnote Text Char"/>
    <w:basedOn w:val="DefaultParagraphFont"/>
    <w:link w:val="FootnoteText"/>
    <w:uiPriority w:val="99"/>
    <w:semiHidden/>
    <w:rsid w:val="007E1398"/>
    <w:rPr>
      <w:rFonts w:ascii="Arial" w:hAnsi="Arial"/>
      <w:lang w:eastAsia="en-US"/>
    </w:rPr>
  </w:style>
  <w:style w:type="character" w:styleId="FootnoteReference">
    <w:name w:val="footnote reference"/>
    <w:basedOn w:val="DefaultParagraphFont"/>
    <w:uiPriority w:val="99"/>
    <w:semiHidden/>
    <w:unhideWhenUsed/>
    <w:rsid w:val="007E1398"/>
    <w:rPr>
      <w:vertAlign w:val="superscript"/>
    </w:rPr>
  </w:style>
  <w:style w:type="paragraph" w:styleId="CommentSubject">
    <w:name w:val="annotation subject"/>
    <w:basedOn w:val="CommentText"/>
    <w:next w:val="CommentText"/>
    <w:link w:val="CommentSubjectChar"/>
    <w:uiPriority w:val="99"/>
    <w:semiHidden/>
    <w:unhideWhenUsed/>
    <w:rsid w:val="007D61F3"/>
    <w:rPr>
      <w:b/>
      <w:bCs/>
    </w:rPr>
  </w:style>
  <w:style w:type="character" w:customStyle="1" w:styleId="CommentSubjectChar">
    <w:name w:val="Comment Subject Char"/>
    <w:basedOn w:val="CommentTextChar"/>
    <w:link w:val="CommentSubject"/>
    <w:uiPriority w:val="99"/>
    <w:semiHidden/>
    <w:rsid w:val="007D61F3"/>
    <w:rPr>
      <w:rFonts w:ascii="Arial" w:hAnsi="Arial"/>
      <w:b/>
      <w:bCs/>
      <w:lang w:eastAsia="en-US"/>
    </w:rPr>
  </w:style>
  <w:style w:type="paragraph" w:customStyle="1" w:styleId="Default">
    <w:name w:val="Default"/>
    <w:rsid w:val="006931CF"/>
    <w:pPr>
      <w:autoSpaceDE w:val="0"/>
      <w:autoSpaceDN w:val="0"/>
      <w:adjustRightInd w:val="0"/>
    </w:pPr>
    <w:rPr>
      <w:rFonts w:ascii="Arial" w:hAnsi="Arial" w:cs="Arial"/>
      <w:color w:val="000000"/>
      <w:sz w:val="24"/>
      <w:szCs w:val="24"/>
    </w:rPr>
  </w:style>
  <w:style w:type="table" w:customStyle="1" w:styleId="DCStable1">
    <w:name w:val="DCStable1"/>
    <w:basedOn w:val="TableNormal"/>
    <w:uiPriority w:val="99"/>
    <w:rsid w:val="003C197D"/>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NormalWeb">
    <w:name w:val="Normal (Web)"/>
    <w:basedOn w:val="Normal"/>
    <w:uiPriority w:val="99"/>
    <w:semiHidden/>
    <w:unhideWhenUsed/>
    <w:rsid w:val="00F0178B"/>
    <w:pPr>
      <w:spacing w:before="100" w:beforeAutospacing="1" w:after="100" w:afterAutospacing="1"/>
    </w:pPr>
    <w:rPr>
      <w:rFonts w:ascii="Times New Roman" w:eastAsiaTheme="minorEastAsia" w:hAnsi="Times New Roman"/>
      <w:lang w:eastAsia="en-AU"/>
    </w:rPr>
  </w:style>
  <w:style w:type="character" w:styleId="FollowedHyperlink">
    <w:name w:val="FollowedHyperlink"/>
    <w:basedOn w:val="DefaultParagraphFont"/>
    <w:uiPriority w:val="99"/>
    <w:semiHidden/>
    <w:unhideWhenUsed/>
    <w:rsid w:val="00CA220B"/>
    <w:rPr>
      <w:color w:val="800080" w:themeColor="followedHyperlink"/>
      <w:u w:val="single"/>
    </w:rPr>
  </w:style>
  <w:style w:type="paragraph" w:customStyle="1" w:styleId="H1nonumber">
    <w:name w:val="H1nonumber"/>
    <w:basedOn w:val="Heading1"/>
    <w:qFormat/>
    <w:rsid w:val="001031E0"/>
    <w:pPr>
      <w:numPr>
        <w:numId w:val="0"/>
      </w:numPr>
    </w:pPr>
  </w:style>
  <w:style w:type="paragraph" w:styleId="Revision">
    <w:name w:val="Revision"/>
    <w:hidden/>
    <w:uiPriority w:val="99"/>
    <w:semiHidden/>
    <w:rsid w:val="00E3062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justus/intranet/prison-operations/Pages/copp-forms.aspx" TargetMode="External"/><Relationship Id="rId26" Type="http://schemas.openxmlformats.org/officeDocument/2006/relationships/hyperlink" Target="http://justus/intranet/prison-operations/Pages/prison-copps.aspx" TargetMode="External"/><Relationship Id="rId3" Type="http://schemas.openxmlformats.org/officeDocument/2006/relationships/customXml" Target="../customXml/item3.xml"/><Relationship Id="rId21" Type="http://schemas.openxmlformats.org/officeDocument/2006/relationships/hyperlink" Target="http://justus/intranet/prison-operations/Pages/prison-copps.aspx"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justus/intranet/prison-operations/Pages/copp-forms.aspx"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ustus/intranet/prison-operations/Pages/prison-copps.aspx" TargetMode="External"/><Relationship Id="rId20" Type="http://schemas.openxmlformats.org/officeDocument/2006/relationships/hyperlink" Target="http://justus/intranet/prison-operations/Pages/copp-forms.aspx" TargetMode="External"/><Relationship Id="rId29"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intranet/prison-operations/Pages/copp-forms.aspx" TargetMode="External"/><Relationship Id="rId32" Type="http://schemas.openxmlformats.org/officeDocument/2006/relationships/hyperlink" Target="http://justus/intranet/department/standards/Documents/monitoring-compliance-framework.doc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justus/intranet/prison-operations/Pages/copp-forms.aspx" TargetMode="External"/><Relationship Id="rId28" Type="http://schemas.openxmlformats.org/officeDocument/2006/relationships/hyperlink" Target="http://justus/intranet/prison-operations/Pages/prison-copps.aspx"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justus/intranet/prison-operations/Pages/prison-copps.aspx" TargetMode="External"/><Relationship Id="rId31" Type="http://schemas.openxmlformats.org/officeDocument/2006/relationships/hyperlink" Target="http://justu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prison-operations/Pages/copp-forms.aspx" TargetMode="External"/><Relationship Id="rId27" Type="http://schemas.openxmlformats.org/officeDocument/2006/relationships/hyperlink" Target="http://justus/intranet/prison-operations/Pages/prison-copps.aspx" TargetMode="External"/><Relationship Id="rId30" Type="http://schemas.openxmlformats.org/officeDocument/2006/relationships/hyperlink" Target="http://www.slp.wa.gov.au/legislation/statutes.nsf/main_mrtitle_751_homepage.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lp.wa.gov.au/legislation/statutes.nsf/main_mrtitle_751_homepage.html" TargetMode="External"/><Relationship Id="rId1" Type="http://schemas.openxmlformats.org/officeDocument/2006/relationships/hyperlink" Target="http://www.slp.wa.gov.au/legislation/statutes.nsf/main_mrtitle_751_homepag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12.6 Prisoners in Western Australian (WA) Police Force Lockups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F21079E8-8E2C-4B71-9F1A-974B29EB1237}">
  <ds:schemaRefs>
    <ds:schemaRef ds:uri="http://schemas.openxmlformats.org/officeDocument/2006/bibliography"/>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2354</Words>
  <Characters>13423</Characters>
  <Application>Microsoft Office Word</Application>
  <DocSecurity>12</DocSecurity>
  <Lines>111</Lines>
  <Paragraphs>31</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15746</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12.6 Prisoners in Western Australian (WA) Police Force Lockups</dc:title>
  <dc:subject/>
  <dc:creator>Byrne, Claire</dc:creator>
  <cp:keywords>Commissioner's Operating Policy and Procedure (COPP); Prison Operations; Adult Custodial; Procedures; Policies.</cp:keywords>
  <dc:description/>
  <cp:lastModifiedBy>Maris Margetts</cp:lastModifiedBy>
  <cp:revision>2</cp:revision>
  <cp:lastPrinted>2020-07-06T05:36:00Z</cp:lastPrinted>
  <dcterms:created xsi:type="dcterms:W3CDTF">2023-07-17T06:45:00Z</dcterms:created>
  <dcterms:modified xsi:type="dcterms:W3CDTF">2023-07-17T06:45:00Z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