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E207" w14:textId="0C15E333" w:rsidR="00146739" w:rsidRPr="002E5756" w:rsidRDefault="008114B3" w:rsidP="002E5756">
      <w:pPr>
        <w:pStyle w:val="Title"/>
      </w:pPr>
      <w:r w:rsidRPr="002E5756">
        <w:t xml:space="preserve">COPP </w:t>
      </w:r>
      <w:r w:rsidR="00B34CE1">
        <w:t>10.</w:t>
      </w:r>
      <w:r w:rsidR="005834E8">
        <w:t xml:space="preserve">6 </w:t>
      </w:r>
      <w:r w:rsidR="00B34CE1">
        <w:t>Anti-bullying</w:t>
      </w:r>
    </w:p>
    <w:p w14:paraId="08E0EBC8" w14:textId="77777777" w:rsidR="000D69A3" w:rsidRPr="00EA7EAC" w:rsidRDefault="00A547EA" w:rsidP="00EA7EAC">
      <w:pPr>
        <w:pStyle w:val="Subtitle"/>
      </w:pPr>
      <w:r>
        <w:t xml:space="preserve">Prison 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2954EF4F" w14:textId="77777777" w:rsidTr="00001F70">
        <w:trPr>
          <w:trHeight w:val="2098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37C2133A" w14:textId="77777777" w:rsidR="00126611" w:rsidRPr="00365E34" w:rsidRDefault="00126611" w:rsidP="00126611">
            <w:pPr>
              <w:pStyle w:val="Heading"/>
            </w:pPr>
            <w:r>
              <w:t>Principles</w:t>
            </w:r>
          </w:p>
          <w:p w14:paraId="2B685B0F" w14:textId="78CC3E80" w:rsidR="00663830" w:rsidRPr="00EB19E7" w:rsidRDefault="00EB19E7" w:rsidP="00EB19E7">
            <w:pPr>
              <w:rPr>
                <w:i/>
              </w:rPr>
            </w:pPr>
            <w:r w:rsidRPr="000D5D14">
              <w:rPr>
                <w:i/>
              </w:rPr>
              <w:t xml:space="preserve">As referenced in the </w:t>
            </w:r>
            <w:hyperlink r:id="rId12" w:history="1">
              <w:r w:rsidRPr="00310CD3">
                <w:rPr>
                  <w:rStyle w:val="Hyperlink"/>
                </w:rPr>
                <w:t>Guiding Principles for Corrections in Australia, 2018</w:t>
              </w:r>
            </w:hyperlink>
            <w:r w:rsidRPr="00904577">
              <w:t>:</w:t>
            </w:r>
          </w:p>
          <w:p w14:paraId="5D7A10C2" w14:textId="77777777" w:rsidR="00B34CE1" w:rsidRDefault="00B34CE1" w:rsidP="002E5756">
            <w:pPr>
              <w:pStyle w:val="Instructionalnote"/>
            </w:pPr>
          </w:p>
          <w:p w14:paraId="2EE1D92A" w14:textId="77777777" w:rsidR="00B34CE1" w:rsidRDefault="00B34CE1" w:rsidP="002E5756">
            <w:pPr>
              <w:pStyle w:val="Instructionalnote"/>
            </w:pPr>
            <w:r>
              <w:rPr>
                <w:rFonts w:cs="Gotham"/>
                <w:color w:val="000000"/>
              </w:rPr>
              <w:t xml:space="preserve">3.1.3 </w:t>
            </w:r>
            <w:r w:rsidRPr="00EB19E7">
              <w:rPr>
                <w:rFonts w:cs="Gotham"/>
                <w:color w:val="000000"/>
              </w:rPr>
              <w:t>Prisoners/offenders, visitors and staff, particularly those most vulnerable or at-risk, are safe from bullying, intimidation and victimisation (including verbal, mental or physical abuse, damage or property theft).</w:t>
            </w:r>
          </w:p>
        </w:tc>
      </w:tr>
    </w:tbl>
    <w:p w14:paraId="3A6D7561" w14:textId="77777777" w:rsidR="00663830" w:rsidRPr="00663830" w:rsidRDefault="00663830" w:rsidP="00663830"/>
    <w:p w14:paraId="143CCF40" w14:textId="77777777" w:rsidR="00663830" w:rsidRPr="00663830" w:rsidRDefault="00663830" w:rsidP="00663830"/>
    <w:p w14:paraId="7BE788E3" w14:textId="77777777" w:rsidR="00663830" w:rsidRDefault="00663830" w:rsidP="00803710">
      <w:pPr>
        <w:rPr>
          <w:b/>
        </w:rPr>
        <w:sectPr w:rsidR="00663830" w:rsidSect="002E5756">
          <w:headerReference w:type="default" r:id="rId13"/>
          <w:headerReference w:type="first" r:id="rId14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45CC6620" w14:textId="77777777" w:rsidR="0044176A" w:rsidRDefault="0044176A">
      <w:pPr>
        <w:rPr>
          <w:b/>
          <w:color w:val="000000" w:themeColor="text1"/>
          <w:sz w:val="32"/>
        </w:rPr>
      </w:pPr>
      <w:r>
        <w:br w:type="page"/>
      </w:r>
    </w:p>
    <w:p w14:paraId="7C7B66F8" w14:textId="1953FAE2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4A09B5DB" w14:textId="4D91BB18" w:rsidR="00D22F0B" w:rsidRDefault="0069300C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54335864" w:history="1">
        <w:r w:rsidR="00D22F0B" w:rsidRPr="001A6E37">
          <w:rPr>
            <w:rStyle w:val="Hyperlink"/>
            <w:noProof/>
          </w:rPr>
          <w:t>1</w:t>
        </w:r>
        <w:r w:rsidR="00D22F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Scope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_Toc54335864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3</w:t>
        </w:r>
        <w:r w:rsidR="00D22F0B">
          <w:rPr>
            <w:noProof/>
            <w:webHidden/>
          </w:rPr>
          <w:fldChar w:fldCharType="end"/>
        </w:r>
      </w:hyperlink>
    </w:p>
    <w:p w14:paraId="719280B3" w14:textId="265ED296" w:rsidR="00D22F0B" w:rsidRDefault="00B63E93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54335865" w:history="1">
        <w:r w:rsidR="00D22F0B" w:rsidRPr="001A6E37">
          <w:rPr>
            <w:rStyle w:val="Hyperlink"/>
            <w:noProof/>
          </w:rPr>
          <w:t>2</w:t>
        </w:r>
        <w:r w:rsidR="00D22F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Policy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_Toc54335865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3</w:t>
        </w:r>
        <w:r w:rsidR="00D22F0B">
          <w:rPr>
            <w:noProof/>
            <w:webHidden/>
          </w:rPr>
          <w:fldChar w:fldCharType="end"/>
        </w:r>
      </w:hyperlink>
    </w:p>
    <w:p w14:paraId="1C6053AF" w14:textId="04E3F48E" w:rsidR="00D22F0B" w:rsidRDefault="00B63E93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54335866" w:history="1">
        <w:r w:rsidR="00D22F0B" w:rsidRPr="001A6E37">
          <w:rPr>
            <w:rStyle w:val="Hyperlink"/>
            <w:noProof/>
          </w:rPr>
          <w:t>3</w:t>
        </w:r>
        <w:r w:rsidR="00D22F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Introduction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_Toc54335866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3</w:t>
        </w:r>
        <w:r w:rsidR="00D22F0B">
          <w:rPr>
            <w:noProof/>
            <w:webHidden/>
          </w:rPr>
          <w:fldChar w:fldCharType="end"/>
        </w:r>
      </w:hyperlink>
    </w:p>
    <w:p w14:paraId="36770F68" w14:textId="2FB6BB43" w:rsidR="00D22F0B" w:rsidRDefault="00B63E93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54335867" w:history="1">
        <w:r w:rsidR="00D22F0B" w:rsidRPr="001A6E37">
          <w:rPr>
            <w:rStyle w:val="Hyperlink"/>
            <w:noProof/>
          </w:rPr>
          <w:t>4</w:t>
        </w:r>
        <w:r w:rsidR="00D22F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General Requirements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_Toc54335867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4</w:t>
        </w:r>
        <w:r w:rsidR="00D22F0B">
          <w:rPr>
            <w:noProof/>
            <w:webHidden/>
          </w:rPr>
          <w:fldChar w:fldCharType="end"/>
        </w:r>
      </w:hyperlink>
    </w:p>
    <w:p w14:paraId="1096D06A" w14:textId="39A7F5B2" w:rsidR="00D22F0B" w:rsidRDefault="00B63E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4335868" w:history="1">
        <w:r w:rsidR="00D22F0B" w:rsidRPr="001A6E37">
          <w:rPr>
            <w:rStyle w:val="Hyperlink"/>
            <w:noProof/>
          </w:rPr>
          <w:t>4.1</w:t>
        </w:r>
        <w:r w:rsidR="00D22F0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Awareness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_Toc54335868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4</w:t>
        </w:r>
        <w:r w:rsidR="00D22F0B">
          <w:rPr>
            <w:noProof/>
            <w:webHidden/>
          </w:rPr>
          <w:fldChar w:fldCharType="end"/>
        </w:r>
      </w:hyperlink>
    </w:p>
    <w:p w14:paraId="04C63EDD" w14:textId="672E6560" w:rsidR="00D22F0B" w:rsidRDefault="00B63E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4335869" w:history="1">
        <w:r w:rsidR="00D22F0B" w:rsidRPr="001A6E37">
          <w:rPr>
            <w:rStyle w:val="Hyperlink"/>
            <w:noProof/>
          </w:rPr>
          <w:t>4.2</w:t>
        </w:r>
        <w:r w:rsidR="00D22F0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Identification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_Toc54335869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4</w:t>
        </w:r>
        <w:r w:rsidR="00D22F0B">
          <w:rPr>
            <w:noProof/>
            <w:webHidden/>
          </w:rPr>
          <w:fldChar w:fldCharType="end"/>
        </w:r>
      </w:hyperlink>
    </w:p>
    <w:p w14:paraId="44665B48" w14:textId="23121C2F" w:rsidR="00D22F0B" w:rsidRDefault="00B63E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4335870" w:history="1">
        <w:r w:rsidR="00D22F0B" w:rsidRPr="001A6E37">
          <w:rPr>
            <w:rStyle w:val="Hyperlink"/>
            <w:noProof/>
          </w:rPr>
          <w:t>4.3</w:t>
        </w:r>
        <w:r w:rsidR="00D22F0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Evaluation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_Toc54335870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4</w:t>
        </w:r>
        <w:r w:rsidR="00D22F0B">
          <w:rPr>
            <w:noProof/>
            <w:webHidden/>
          </w:rPr>
          <w:fldChar w:fldCharType="end"/>
        </w:r>
      </w:hyperlink>
    </w:p>
    <w:p w14:paraId="25C8BF6F" w14:textId="2B717461" w:rsidR="00D22F0B" w:rsidRDefault="00B63E93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54335871" w:history="1">
        <w:r w:rsidR="00D22F0B" w:rsidRPr="001A6E37">
          <w:rPr>
            <w:rStyle w:val="Hyperlink"/>
            <w:noProof/>
          </w:rPr>
          <w:t>5</w:t>
        </w:r>
        <w:r w:rsidR="00D22F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Procedures for Addressing Bullying Behaviour in Prisoners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_Toc54335871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4</w:t>
        </w:r>
        <w:r w:rsidR="00D22F0B">
          <w:rPr>
            <w:noProof/>
            <w:webHidden/>
          </w:rPr>
          <w:fldChar w:fldCharType="end"/>
        </w:r>
      </w:hyperlink>
    </w:p>
    <w:p w14:paraId="2164DCD8" w14:textId="6CE3392A" w:rsidR="00D22F0B" w:rsidRDefault="00B63E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4335872" w:history="1">
        <w:r w:rsidR="00D22F0B" w:rsidRPr="001A6E37">
          <w:rPr>
            <w:rStyle w:val="Hyperlink"/>
            <w:noProof/>
          </w:rPr>
          <w:t>5.1</w:t>
        </w:r>
        <w:r w:rsidR="00D22F0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Supporting the victim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_Toc54335872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4</w:t>
        </w:r>
        <w:r w:rsidR="00D22F0B">
          <w:rPr>
            <w:noProof/>
            <w:webHidden/>
          </w:rPr>
          <w:fldChar w:fldCharType="end"/>
        </w:r>
      </w:hyperlink>
    </w:p>
    <w:p w14:paraId="357903F1" w14:textId="1086B13E" w:rsidR="00D22F0B" w:rsidRDefault="00B63E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4335873" w:history="1">
        <w:r w:rsidR="00D22F0B" w:rsidRPr="001A6E37">
          <w:rPr>
            <w:rStyle w:val="Hyperlink"/>
            <w:noProof/>
          </w:rPr>
          <w:t>5.2</w:t>
        </w:r>
        <w:r w:rsidR="00D22F0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Interventions to address bullying behaviours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_Toc54335873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5</w:t>
        </w:r>
        <w:r w:rsidR="00D22F0B">
          <w:rPr>
            <w:noProof/>
            <w:webHidden/>
          </w:rPr>
          <w:fldChar w:fldCharType="end"/>
        </w:r>
      </w:hyperlink>
    </w:p>
    <w:p w14:paraId="7E98F43D" w14:textId="32650B8E" w:rsidR="00D22F0B" w:rsidRDefault="00B63E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4335874" w:history="1">
        <w:r w:rsidR="00D22F0B" w:rsidRPr="001A6E37">
          <w:rPr>
            <w:rStyle w:val="Hyperlink"/>
            <w:noProof/>
          </w:rPr>
          <w:t>5.3</w:t>
        </w:r>
        <w:r w:rsidR="00D22F0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Reporting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_Toc54335874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5</w:t>
        </w:r>
        <w:r w:rsidR="00D22F0B">
          <w:rPr>
            <w:noProof/>
            <w:webHidden/>
          </w:rPr>
          <w:fldChar w:fldCharType="end"/>
        </w:r>
      </w:hyperlink>
    </w:p>
    <w:p w14:paraId="4CDEB122" w14:textId="67C69CCB" w:rsidR="00D22F0B" w:rsidRDefault="00B63E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4335875" w:history="1">
        <w:r w:rsidR="00D22F0B" w:rsidRPr="001A6E37">
          <w:rPr>
            <w:rStyle w:val="Hyperlink"/>
            <w:noProof/>
          </w:rPr>
          <w:t>5.4</w:t>
        </w:r>
        <w:r w:rsidR="00D22F0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General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_Toc54335875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6</w:t>
        </w:r>
        <w:r w:rsidR="00D22F0B">
          <w:rPr>
            <w:noProof/>
            <w:webHidden/>
          </w:rPr>
          <w:fldChar w:fldCharType="end"/>
        </w:r>
      </w:hyperlink>
    </w:p>
    <w:p w14:paraId="163E51A0" w14:textId="67DC6627" w:rsidR="00D22F0B" w:rsidRDefault="00B63E93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54335876" w:history="1">
        <w:r w:rsidR="00D22F0B" w:rsidRPr="001A6E37">
          <w:rPr>
            <w:rStyle w:val="Hyperlink"/>
            <w:noProof/>
          </w:rPr>
          <w:t>6</w:t>
        </w:r>
        <w:r w:rsidR="00D22F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Standing Order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_Toc54335876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6</w:t>
        </w:r>
        <w:r w:rsidR="00D22F0B">
          <w:rPr>
            <w:noProof/>
            <w:webHidden/>
          </w:rPr>
          <w:fldChar w:fldCharType="end"/>
        </w:r>
      </w:hyperlink>
    </w:p>
    <w:p w14:paraId="6FCE2CA8" w14:textId="15C03157" w:rsidR="00D22F0B" w:rsidRDefault="00B63E93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54335877" w:history="1">
        <w:r w:rsidR="00D22F0B" w:rsidRPr="001A6E37">
          <w:rPr>
            <w:rStyle w:val="Hyperlink"/>
            <w:noProof/>
          </w:rPr>
          <w:t>7</w:t>
        </w:r>
        <w:r w:rsidR="00D22F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Annexures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_Toc54335877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7</w:t>
        </w:r>
        <w:r w:rsidR="00D22F0B">
          <w:rPr>
            <w:noProof/>
            <w:webHidden/>
          </w:rPr>
          <w:fldChar w:fldCharType="end"/>
        </w:r>
      </w:hyperlink>
    </w:p>
    <w:p w14:paraId="53941873" w14:textId="4D57301E" w:rsidR="00D22F0B" w:rsidRDefault="00B63E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4335878" w:history="1">
        <w:r w:rsidR="00D22F0B" w:rsidRPr="001A6E37">
          <w:rPr>
            <w:rStyle w:val="Hyperlink"/>
            <w:noProof/>
          </w:rPr>
          <w:t>7.1</w:t>
        </w:r>
        <w:r w:rsidR="00D22F0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Related COPPs and documents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_Toc54335878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7</w:t>
        </w:r>
        <w:r w:rsidR="00D22F0B">
          <w:rPr>
            <w:noProof/>
            <w:webHidden/>
          </w:rPr>
          <w:fldChar w:fldCharType="end"/>
        </w:r>
      </w:hyperlink>
    </w:p>
    <w:p w14:paraId="737AD183" w14:textId="6D7E9467" w:rsidR="00D22F0B" w:rsidRDefault="00B63E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4335879" w:history="1">
        <w:r w:rsidR="00D22F0B" w:rsidRPr="001A6E37">
          <w:rPr>
            <w:rStyle w:val="Hyperlink"/>
            <w:noProof/>
          </w:rPr>
          <w:t>7.2</w:t>
        </w:r>
        <w:r w:rsidR="00D22F0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Definitions and acronyms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_Toc54335879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7</w:t>
        </w:r>
        <w:r w:rsidR="00D22F0B">
          <w:rPr>
            <w:noProof/>
            <w:webHidden/>
          </w:rPr>
          <w:fldChar w:fldCharType="end"/>
        </w:r>
      </w:hyperlink>
    </w:p>
    <w:p w14:paraId="49C47158" w14:textId="0542C4F5" w:rsidR="00D22F0B" w:rsidRDefault="00B63E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4335880" w:history="1">
        <w:r w:rsidR="00D22F0B" w:rsidRPr="001A6E37">
          <w:rPr>
            <w:rStyle w:val="Hyperlink"/>
            <w:noProof/>
          </w:rPr>
          <w:t>7.3</w:t>
        </w:r>
        <w:r w:rsidR="00D22F0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Related legislation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_Toc54335880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8</w:t>
        </w:r>
        <w:r w:rsidR="00D22F0B">
          <w:rPr>
            <w:noProof/>
            <w:webHidden/>
          </w:rPr>
          <w:fldChar w:fldCharType="end"/>
        </w:r>
      </w:hyperlink>
    </w:p>
    <w:p w14:paraId="103D2665" w14:textId="7A02C572" w:rsidR="00D22F0B" w:rsidRDefault="00B63E93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54335881" w:history="1">
        <w:r w:rsidR="00D22F0B" w:rsidRPr="001A6E37">
          <w:rPr>
            <w:rStyle w:val="Hyperlink"/>
            <w:noProof/>
          </w:rPr>
          <w:t>8</w:t>
        </w:r>
        <w:r w:rsidR="00D22F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D22F0B" w:rsidRPr="001A6E37">
          <w:rPr>
            <w:rStyle w:val="Hyperlink"/>
            <w:noProof/>
          </w:rPr>
          <w:t>Assurance</w:t>
        </w:r>
        <w:r w:rsidR="00D22F0B">
          <w:rPr>
            <w:noProof/>
            <w:webHidden/>
          </w:rPr>
          <w:tab/>
        </w:r>
        <w:r w:rsidR="00D22F0B">
          <w:rPr>
            <w:noProof/>
            <w:webHidden/>
          </w:rPr>
          <w:fldChar w:fldCharType="begin"/>
        </w:r>
        <w:r w:rsidR="00D22F0B">
          <w:rPr>
            <w:noProof/>
            <w:webHidden/>
          </w:rPr>
          <w:instrText xml:space="preserve"> PAGEREF _Toc54335881 \h </w:instrText>
        </w:r>
        <w:r w:rsidR="00D22F0B">
          <w:rPr>
            <w:noProof/>
            <w:webHidden/>
          </w:rPr>
        </w:r>
        <w:r w:rsidR="00D22F0B">
          <w:rPr>
            <w:noProof/>
            <w:webHidden/>
          </w:rPr>
          <w:fldChar w:fldCharType="separate"/>
        </w:r>
        <w:r w:rsidR="001B317C">
          <w:rPr>
            <w:noProof/>
            <w:webHidden/>
          </w:rPr>
          <w:t>8</w:t>
        </w:r>
        <w:r w:rsidR="00D22F0B">
          <w:rPr>
            <w:noProof/>
            <w:webHidden/>
          </w:rPr>
          <w:fldChar w:fldCharType="end"/>
        </w:r>
      </w:hyperlink>
    </w:p>
    <w:p w14:paraId="502961C7" w14:textId="77777777" w:rsidR="00634C54" w:rsidRDefault="0069300C" w:rsidP="004E571B">
      <w:r>
        <w:fldChar w:fldCharType="end"/>
      </w:r>
    </w:p>
    <w:p w14:paraId="5E98EFB9" w14:textId="77777777" w:rsidR="00634C54" w:rsidRDefault="00634C54">
      <w:r>
        <w:br w:type="page"/>
      </w:r>
    </w:p>
    <w:p w14:paraId="2C3183A5" w14:textId="1A672901" w:rsidR="00C8272F" w:rsidRDefault="00C8272F" w:rsidP="00D2528E">
      <w:pPr>
        <w:pStyle w:val="Heading1"/>
        <w:spacing w:before="200"/>
      </w:pPr>
      <w:bookmarkStart w:id="0" w:name="_Toc54335864"/>
      <w:r>
        <w:lastRenderedPageBreak/>
        <w:t>Scope</w:t>
      </w:r>
      <w:bookmarkEnd w:id="0"/>
    </w:p>
    <w:p w14:paraId="45B3784B" w14:textId="48F140E7" w:rsidR="00037055" w:rsidRDefault="00F8119D" w:rsidP="00F842EE">
      <w:pPr>
        <w:spacing w:before="200" w:after="120"/>
      </w:pPr>
      <w:r w:rsidRPr="00F8119D">
        <w:t>This Commissioner’s Operating Policy and Procedure (COPP) applies to all public and private prisons administered by or on behalf of the Department of Justice (the Department).</w:t>
      </w:r>
    </w:p>
    <w:p w14:paraId="6A53CB9C" w14:textId="77777777" w:rsidR="00F842EE" w:rsidRDefault="00F842EE" w:rsidP="00F842EE">
      <w:pPr>
        <w:spacing w:before="200" w:after="120"/>
      </w:pPr>
    </w:p>
    <w:p w14:paraId="029418F4" w14:textId="1FD39B7A" w:rsidR="00B34CE1" w:rsidRPr="00B34CE1" w:rsidRDefault="00B34CE1" w:rsidP="00F842EE">
      <w:pPr>
        <w:pStyle w:val="Heading1"/>
        <w:spacing w:before="200"/>
      </w:pPr>
      <w:bookmarkStart w:id="1" w:name="_Toc526229948"/>
      <w:bookmarkStart w:id="2" w:name="_Toc54335865"/>
      <w:r w:rsidRPr="00B34CE1">
        <w:t>Policy</w:t>
      </w:r>
      <w:bookmarkEnd w:id="1"/>
      <w:bookmarkEnd w:id="2"/>
      <w:r w:rsidRPr="00B34CE1">
        <w:t xml:space="preserve"> </w:t>
      </w:r>
    </w:p>
    <w:p w14:paraId="0D8159EF" w14:textId="5ED97D4F" w:rsidR="00B34CE1" w:rsidRPr="00B34CE1" w:rsidRDefault="000A460D" w:rsidP="00D2528E">
      <w:pPr>
        <w:spacing w:before="120" w:after="120"/>
      </w:pPr>
      <w:r>
        <w:t xml:space="preserve">All staff shall work with prisoners to eliminate all forms of bullying behaviour, providing </w:t>
      </w:r>
      <w:r w:rsidR="00B34CE1" w:rsidRPr="00B34CE1">
        <w:t>a</w:t>
      </w:r>
      <w:r w:rsidR="00B34CE1">
        <w:t xml:space="preserve"> prison </w:t>
      </w:r>
      <w:r w:rsidR="00B34CE1" w:rsidRPr="00B34CE1">
        <w:t>environment that is safe, secure and free from intimidation.</w:t>
      </w:r>
      <w:r w:rsidRPr="000A460D">
        <w:t xml:space="preserve"> Responsibility for safety and well-being is </w:t>
      </w:r>
      <w:r w:rsidRPr="00B34CE1">
        <w:t>both a shared and individual responsibility</w:t>
      </w:r>
      <w:r>
        <w:t>.</w:t>
      </w:r>
      <w:r w:rsidRPr="000A460D">
        <w:t xml:space="preserve"> </w:t>
      </w:r>
    </w:p>
    <w:p w14:paraId="2AE9E516" w14:textId="58A9399B" w:rsidR="008118FE" w:rsidRPr="00D2528E" w:rsidRDefault="00B34CE1" w:rsidP="00D2528E">
      <w:pPr>
        <w:spacing w:before="120" w:after="120"/>
      </w:pPr>
      <w:r w:rsidRPr="00B34CE1">
        <w:t xml:space="preserve">An integrated </w:t>
      </w:r>
      <w:r w:rsidR="002452B7">
        <w:t xml:space="preserve">prison </w:t>
      </w:r>
      <w:r w:rsidRPr="00B34CE1">
        <w:t xml:space="preserve">approach to the identification and management of bullying </w:t>
      </w:r>
      <w:r w:rsidR="000A460D">
        <w:t xml:space="preserve">shall be taken, </w:t>
      </w:r>
      <w:r w:rsidR="000A460D" w:rsidRPr="000A460D">
        <w:t>where all aspects of service delivery and prison life are considered as opportunities to create a safer environment.</w:t>
      </w:r>
      <w:r w:rsidR="000A460D">
        <w:t xml:space="preserve"> </w:t>
      </w:r>
    </w:p>
    <w:p w14:paraId="23D63AC1" w14:textId="076710C9" w:rsidR="00D2528E" w:rsidRDefault="00560F25" w:rsidP="00D2528E">
      <w:pPr>
        <w:pStyle w:val="NormalWeb"/>
        <w:spacing w:beforeLines="0" w:before="120" w:afterLines="0" w:after="120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>Each prison shall implement a</w:t>
      </w:r>
      <w:r w:rsidR="008118FE">
        <w:rPr>
          <w:rFonts w:ascii="Arial" w:hAnsi="Arial"/>
          <w:sz w:val="24"/>
          <w:szCs w:val="22"/>
        </w:rPr>
        <w:t>nti-</w:t>
      </w:r>
      <w:r>
        <w:rPr>
          <w:rFonts w:ascii="Arial" w:hAnsi="Arial"/>
          <w:sz w:val="24"/>
          <w:szCs w:val="22"/>
        </w:rPr>
        <w:t>b</w:t>
      </w:r>
      <w:r w:rsidR="008118FE">
        <w:rPr>
          <w:rFonts w:ascii="Arial" w:hAnsi="Arial"/>
          <w:sz w:val="24"/>
          <w:szCs w:val="22"/>
        </w:rPr>
        <w:t xml:space="preserve">ullying measures </w:t>
      </w:r>
      <w:r w:rsidR="008118FE" w:rsidRPr="008C7D41">
        <w:rPr>
          <w:rFonts w:ascii="Arial" w:hAnsi="Arial"/>
          <w:sz w:val="24"/>
          <w:szCs w:val="22"/>
        </w:rPr>
        <w:t>to</w:t>
      </w:r>
      <w:r w:rsidR="00D2528E">
        <w:rPr>
          <w:rFonts w:ascii="Arial" w:hAnsi="Arial"/>
          <w:sz w:val="24"/>
          <w:szCs w:val="22"/>
        </w:rPr>
        <w:t>:</w:t>
      </w:r>
    </w:p>
    <w:p w14:paraId="65F919D5" w14:textId="77777777" w:rsidR="002452B7" w:rsidRDefault="002452B7" w:rsidP="00D2528E">
      <w:pPr>
        <w:pStyle w:val="NormalWeb"/>
        <w:numPr>
          <w:ilvl w:val="0"/>
          <w:numId w:val="28"/>
        </w:numPr>
        <w:spacing w:beforeLines="0" w:before="120" w:afterLines="0" w:after="120"/>
        <w:ind w:left="714" w:hanging="357"/>
        <w:rPr>
          <w:rFonts w:ascii="Arial" w:hAnsi="Arial"/>
          <w:sz w:val="24"/>
          <w:szCs w:val="22"/>
        </w:rPr>
      </w:pPr>
      <w:r w:rsidRPr="008C7D41">
        <w:rPr>
          <w:rFonts w:ascii="Arial" w:hAnsi="Arial"/>
          <w:sz w:val="24"/>
          <w:szCs w:val="22"/>
        </w:rPr>
        <w:t>heighten awareness of the consequences of</w:t>
      </w:r>
      <w:r>
        <w:rPr>
          <w:rFonts w:ascii="Arial" w:hAnsi="Arial"/>
          <w:sz w:val="24"/>
          <w:szCs w:val="22"/>
        </w:rPr>
        <w:t xml:space="preserve"> </w:t>
      </w:r>
      <w:r w:rsidRPr="008C7D41">
        <w:rPr>
          <w:rFonts w:ascii="Arial" w:hAnsi="Arial"/>
          <w:sz w:val="24"/>
          <w:szCs w:val="22"/>
        </w:rPr>
        <w:t>bullying</w:t>
      </w:r>
    </w:p>
    <w:p w14:paraId="4B76584F" w14:textId="72DE6728" w:rsidR="000A460D" w:rsidRDefault="000A460D" w:rsidP="00D2528E">
      <w:pPr>
        <w:pStyle w:val="NormalWeb"/>
        <w:numPr>
          <w:ilvl w:val="0"/>
          <w:numId w:val="28"/>
        </w:numPr>
        <w:spacing w:beforeLines="0" w:before="120" w:afterLines="0" w:after="120"/>
        <w:ind w:left="714" w:hanging="357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identify and </w:t>
      </w:r>
      <w:r w:rsidR="002452B7">
        <w:rPr>
          <w:rFonts w:ascii="Arial" w:hAnsi="Arial"/>
          <w:sz w:val="24"/>
          <w:szCs w:val="22"/>
        </w:rPr>
        <w:t xml:space="preserve">provide </w:t>
      </w:r>
      <w:r>
        <w:rPr>
          <w:rFonts w:ascii="Arial" w:hAnsi="Arial"/>
          <w:sz w:val="24"/>
          <w:szCs w:val="22"/>
        </w:rPr>
        <w:t>support to the victims of bullying</w:t>
      </w:r>
    </w:p>
    <w:p w14:paraId="026BB791" w14:textId="77777777" w:rsidR="002452B7" w:rsidRPr="002452B7" w:rsidRDefault="002452B7" w:rsidP="00D2528E">
      <w:pPr>
        <w:pStyle w:val="NormalWeb"/>
        <w:numPr>
          <w:ilvl w:val="0"/>
          <w:numId w:val="28"/>
        </w:numPr>
        <w:spacing w:beforeLines="0" w:before="120" w:afterLines="0" w:after="120"/>
        <w:ind w:left="714" w:hanging="357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provide </w:t>
      </w:r>
      <w:r w:rsidRPr="00851A3C">
        <w:rPr>
          <w:rFonts w:ascii="Arial" w:hAnsi="Arial"/>
          <w:sz w:val="24"/>
        </w:rPr>
        <w:t xml:space="preserve">opportunities </w:t>
      </w:r>
      <w:r>
        <w:rPr>
          <w:rFonts w:ascii="Arial" w:hAnsi="Arial"/>
          <w:sz w:val="24"/>
        </w:rPr>
        <w:t xml:space="preserve">for perpetrators </w:t>
      </w:r>
      <w:r w:rsidRPr="00851A3C">
        <w:rPr>
          <w:rFonts w:ascii="Arial" w:hAnsi="Arial"/>
          <w:sz w:val="24"/>
        </w:rPr>
        <w:t>to</w:t>
      </w:r>
      <w:r>
        <w:rPr>
          <w:rFonts w:ascii="Arial" w:hAnsi="Arial"/>
          <w:sz w:val="24"/>
        </w:rPr>
        <w:t xml:space="preserve"> address their anti-social behaviour</w:t>
      </w:r>
    </w:p>
    <w:p w14:paraId="75316C9C" w14:textId="7A3DE130" w:rsidR="002452B7" w:rsidRDefault="002452B7" w:rsidP="00D2528E">
      <w:pPr>
        <w:pStyle w:val="NormalWeb"/>
        <w:numPr>
          <w:ilvl w:val="0"/>
          <w:numId w:val="28"/>
        </w:numPr>
        <w:spacing w:beforeLines="0" w:before="120" w:afterLines="0" w:after="120"/>
        <w:ind w:left="714" w:hanging="357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provide opportunities for the victims </w:t>
      </w:r>
      <w:r w:rsidRPr="00851A3C">
        <w:rPr>
          <w:rFonts w:ascii="Arial" w:hAnsi="Arial"/>
          <w:sz w:val="24"/>
        </w:rPr>
        <w:t xml:space="preserve">to develop skills for dealing with </w:t>
      </w:r>
      <w:r>
        <w:rPr>
          <w:rFonts w:ascii="Arial" w:hAnsi="Arial"/>
          <w:sz w:val="24"/>
        </w:rPr>
        <w:t xml:space="preserve">the bullying and </w:t>
      </w:r>
      <w:r w:rsidRPr="00851A3C">
        <w:rPr>
          <w:rFonts w:ascii="Arial" w:hAnsi="Arial"/>
          <w:sz w:val="24"/>
        </w:rPr>
        <w:t>intimidation</w:t>
      </w:r>
    </w:p>
    <w:p w14:paraId="6DD4E7F6" w14:textId="0DF5D376" w:rsidR="002452B7" w:rsidRPr="002452B7" w:rsidRDefault="002452B7" w:rsidP="00D2528E">
      <w:pPr>
        <w:pStyle w:val="NormalWeb"/>
        <w:numPr>
          <w:ilvl w:val="0"/>
          <w:numId w:val="28"/>
        </w:numPr>
        <w:spacing w:beforeLines="0" w:before="120" w:afterLines="0" w:after="120"/>
        <w:ind w:left="714" w:hanging="357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develop prison </w:t>
      </w:r>
      <w:r w:rsidRPr="00851A3C">
        <w:rPr>
          <w:rFonts w:ascii="Arial" w:hAnsi="Arial"/>
          <w:sz w:val="24"/>
        </w:rPr>
        <w:t>environments</w:t>
      </w:r>
      <w:r>
        <w:rPr>
          <w:rFonts w:ascii="Arial" w:hAnsi="Arial"/>
          <w:sz w:val="24"/>
        </w:rPr>
        <w:t xml:space="preserve"> that discourage bullying behaviour</w:t>
      </w:r>
    </w:p>
    <w:p w14:paraId="474BDC18" w14:textId="32B99297" w:rsidR="00037055" w:rsidRDefault="002452B7" w:rsidP="00D22F0B">
      <w:pPr>
        <w:pStyle w:val="NormalWeb"/>
        <w:numPr>
          <w:ilvl w:val="0"/>
          <w:numId w:val="28"/>
        </w:numPr>
        <w:spacing w:beforeLines="0" w:before="120" w:afterLines="0" w:after="120"/>
        <w:ind w:left="714" w:hanging="357"/>
        <w:rPr>
          <w:rFonts w:ascii="Arial" w:hAnsi="Arial"/>
          <w:sz w:val="24"/>
          <w:szCs w:val="22"/>
        </w:rPr>
      </w:pPr>
      <w:r w:rsidRPr="008C7D41">
        <w:rPr>
          <w:rFonts w:ascii="Arial" w:hAnsi="Arial"/>
          <w:sz w:val="24"/>
          <w:szCs w:val="22"/>
        </w:rPr>
        <w:t xml:space="preserve">reduce </w:t>
      </w:r>
      <w:r>
        <w:rPr>
          <w:rFonts w:ascii="Arial" w:hAnsi="Arial"/>
          <w:sz w:val="24"/>
          <w:szCs w:val="22"/>
        </w:rPr>
        <w:t>the</w:t>
      </w:r>
      <w:r w:rsidRPr="008C7D41">
        <w:rPr>
          <w:rFonts w:ascii="Arial" w:hAnsi="Arial"/>
          <w:sz w:val="24"/>
          <w:szCs w:val="22"/>
        </w:rPr>
        <w:t xml:space="preserve"> incidence</w:t>
      </w:r>
      <w:r>
        <w:rPr>
          <w:rFonts w:ascii="Arial" w:hAnsi="Arial"/>
          <w:sz w:val="24"/>
          <w:szCs w:val="22"/>
        </w:rPr>
        <w:t xml:space="preserve"> of prisoner assault, stand-over and bullying behaviours.</w:t>
      </w:r>
    </w:p>
    <w:p w14:paraId="14398466" w14:textId="77777777" w:rsidR="00D22F0B" w:rsidRPr="00D22F0B" w:rsidRDefault="00D22F0B" w:rsidP="00E5692F">
      <w:pPr>
        <w:pStyle w:val="NormalWeb"/>
        <w:spacing w:beforeLines="0" w:before="120" w:afterLines="0" w:after="120"/>
        <w:rPr>
          <w:rFonts w:ascii="Arial" w:hAnsi="Arial"/>
          <w:sz w:val="24"/>
          <w:szCs w:val="22"/>
        </w:rPr>
      </w:pPr>
    </w:p>
    <w:p w14:paraId="7B0812A7" w14:textId="40416203" w:rsidR="00B34CE1" w:rsidRPr="00B34CE1" w:rsidRDefault="00B34CE1" w:rsidP="00F842EE">
      <w:pPr>
        <w:pStyle w:val="Heading1"/>
        <w:spacing w:before="200"/>
      </w:pPr>
      <w:bookmarkStart w:id="3" w:name="Introduction"/>
      <w:bookmarkStart w:id="4" w:name="_Toc54335866"/>
      <w:r w:rsidRPr="00B34CE1">
        <w:t>Introduction</w:t>
      </w:r>
      <w:bookmarkEnd w:id="3"/>
      <w:bookmarkEnd w:id="4"/>
    </w:p>
    <w:p w14:paraId="7FC08DB8" w14:textId="55C1758D" w:rsidR="00B34CE1" w:rsidRPr="00B34CE1" w:rsidRDefault="00B34CE1" w:rsidP="00D2528E">
      <w:pPr>
        <w:keepNext/>
        <w:keepLines/>
        <w:numPr>
          <w:ilvl w:val="2"/>
          <w:numId w:val="3"/>
        </w:numPr>
        <w:spacing w:before="120" w:after="120"/>
        <w:outlineLvl w:val="2"/>
        <w:rPr>
          <w:rFonts w:eastAsia="MS Gothic"/>
          <w:bCs/>
          <w:color w:val="000000" w:themeColor="text1"/>
          <w:szCs w:val="26"/>
          <w:lang w:val="en-US" w:eastAsia="en-AU"/>
        </w:rPr>
      </w:pPr>
      <w:r w:rsidRPr="00B34CE1">
        <w:rPr>
          <w:rFonts w:eastAsia="MS Gothic"/>
          <w:bCs/>
          <w:color w:val="000000" w:themeColor="text1"/>
          <w:szCs w:val="26"/>
          <w:lang w:val="en-US" w:eastAsia="en-AU"/>
        </w:rPr>
        <w:t>Bullying challenges and undermines the prison’s ability to maintain good order and a safe environment for all staff and prisoners. It is an anti-social behaviour which contributes significantly to a prisoner</w:t>
      </w:r>
      <w:r w:rsidR="00A4163E">
        <w:rPr>
          <w:rFonts w:eastAsia="MS Gothic"/>
          <w:bCs/>
          <w:color w:val="000000" w:themeColor="text1"/>
          <w:szCs w:val="26"/>
          <w:lang w:val="en-US" w:eastAsia="en-AU"/>
        </w:rPr>
        <w:t>’</w:t>
      </w:r>
      <w:r w:rsidRPr="00B34CE1">
        <w:rPr>
          <w:rFonts w:eastAsia="MS Gothic"/>
          <w:bCs/>
          <w:color w:val="000000" w:themeColor="text1"/>
          <w:szCs w:val="26"/>
          <w:lang w:val="en-US" w:eastAsia="en-AU"/>
        </w:rPr>
        <w:t>s “At Risk” status.</w:t>
      </w:r>
    </w:p>
    <w:p w14:paraId="1909D231" w14:textId="77A24EEE" w:rsidR="00B34CE1" w:rsidRPr="00107ED0" w:rsidRDefault="00107ED0" w:rsidP="00D2528E">
      <w:pPr>
        <w:pStyle w:val="Heading3"/>
        <w:spacing w:before="120"/>
      </w:pPr>
      <w:r w:rsidRPr="00107ED0">
        <w:t>Bullying is physical, verbal, psychological or emotional threats and actions that intend to cause someone fear or harm. It is usually a repeated behaviour and always involves a power imbalance.</w:t>
      </w:r>
      <w:r>
        <w:t xml:space="preserve"> </w:t>
      </w:r>
      <w:r w:rsidR="00360EA6" w:rsidRPr="00107ED0">
        <w:t>Bullying can present in various ways and</w:t>
      </w:r>
      <w:r w:rsidR="00B34CE1" w:rsidRPr="00107ED0">
        <w:t xml:space="preserve"> may include:</w:t>
      </w:r>
    </w:p>
    <w:p w14:paraId="28D16F81" w14:textId="77777777" w:rsidR="00B34CE1" w:rsidRPr="00B34CE1" w:rsidRDefault="00B34CE1" w:rsidP="000309FF">
      <w:pPr>
        <w:pStyle w:val="ListParagraph"/>
        <w:numPr>
          <w:ilvl w:val="0"/>
          <w:numId w:val="14"/>
        </w:numPr>
        <w:spacing w:before="120" w:after="120"/>
        <w:ind w:left="1077" w:hanging="357"/>
        <w:contextualSpacing w:val="0"/>
      </w:pPr>
      <w:r w:rsidRPr="00B34CE1">
        <w:t>psychological pressure, name calling and threats</w:t>
      </w:r>
    </w:p>
    <w:p w14:paraId="05AF6934" w14:textId="77777777" w:rsidR="00B34CE1" w:rsidRPr="00B34CE1" w:rsidRDefault="00B34CE1" w:rsidP="00037055">
      <w:pPr>
        <w:pStyle w:val="ListParagraph"/>
        <w:numPr>
          <w:ilvl w:val="0"/>
          <w:numId w:val="14"/>
        </w:numPr>
        <w:spacing w:before="120" w:after="120"/>
        <w:ind w:left="1077" w:hanging="357"/>
        <w:contextualSpacing w:val="0"/>
      </w:pPr>
      <w:r w:rsidRPr="00B34CE1">
        <w:t>vandalising property</w:t>
      </w:r>
    </w:p>
    <w:p w14:paraId="3563B25A" w14:textId="77777777" w:rsidR="00B34CE1" w:rsidRPr="00B34CE1" w:rsidRDefault="00B34CE1">
      <w:pPr>
        <w:pStyle w:val="ListParagraph"/>
        <w:numPr>
          <w:ilvl w:val="0"/>
          <w:numId w:val="14"/>
        </w:numPr>
        <w:spacing w:before="120" w:after="120"/>
        <w:ind w:left="1077" w:hanging="357"/>
        <w:contextualSpacing w:val="0"/>
      </w:pPr>
      <w:r w:rsidRPr="00B34CE1">
        <w:t>unprovoked attacks</w:t>
      </w:r>
    </w:p>
    <w:p w14:paraId="4CBE04F4" w14:textId="77777777" w:rsidR="00B34CE1" w:rsidRPr="00B34CE1" w:rsidRDefault="00B34CE1">
      <w:pPr>
        <w:pStyle w:val="ListParagraph"/>
        <w:numPr>
          <w:ilvl w:val="0"/>
          <w:numId w:val="14"/>
        </w:numPr>
        <w:spacing w:before="120" w:after="120"/>
        <w:ind w:left="1077" w:hanging="357"/>
        <w:contextualSpacing w:val="0"/>
      </w:pPr>
      <w:r w:rsidRPr="00B34CE1">
        <w:t>repeated occurrences of any one or more of the above</w:t>
      </w:r>
    </w:p>
    <w:p w14:paraId="30D0F1D0" w14:textId="77777777" w:rsidR="00B34CE1" w:rsidRDefault="00B34CE1">
      <w:pPr>
        <w:pStyle w:val="ListParagraph"/>
        <w:numPr>
          <w:ilvl w:val="0"/>
          <w:numId w:val="14"/>
        </w:numPr>
        <w:spacing w:before="120" w:after="120"/>
        <w:ind w:left="1077" w:hanging="357"/>
        <w:contextualSpacing w:val="0"/>
      </w:pPr>
      <w:r w:rsidRPr="00B34CE1">
        <w:t>the intention to cause fear or harm to the victim.</w:t>
      </w:r>
    </w:p>
    <w:p w14:paraId="5AD984FD" w14:textId="77777777" w:rsidR="00E149FD" w:rsidRPr="003160E5" w:rsidRDefault="00E149FD" w:rsidP="00D2528E">
      <w:pPr>
        <w:pStyle w:val="Heading3"/>
        <w:spacing w:before="120"/>
      </w:pPr>
      <w:r w:rsidRPr="003160E5">
        <w:t>Suspicions of bullying may be raised by various indicators:</w:t>
      </w:r>
    </w:p>
    <w:p w14:paraId="65CFC23D" w14:textId="77777777" w:rsidR="00E149FD" w:rsidRPr="003160E5" w:rsidRDefault="00E149FD" w:rsidP="00E5692F">
      <w:pPr>
        <w:pStyle w:val="ListParagraph"/>
        <w:numPr>
          <w:ilvl w:val="0"/>
          <w:numId w:val="16"/>
        </w:numPr>
        <w:spacing w:before="120" w:after="120"/>
        <w:ind w:left="1077" w:hanging="357"/>
        <w:contextualSpacing w:val="0"/>
      </w:pPr>
      <w:r w:rsidRPr="003160E5">
        <w:t>information from a third party</w:t>
      </w:r>
    </w:p>
    <w:p w14:paraId="6E5B8050" w14:textId="77777777" w:rsidR="00E149FD" w:rsidRPr="003160E5" w:rsidRDefault="00E149FD" w:rsidP="00E5692F">
      <w:pPr>
        <w:pStyle w:val="ListParagraph"/>
        <w:numPr>
          <w:ilvl w:val="0"/>
          <w:numId w:val="16"/>
        </w:numPr>
        <w:spacing w:before="120" w:after="120"/>
        <w:ind w:left="1077" w:hanging="357"/>
        <w:contextualSpacing w:val="0"/>
      </w:pPr>
      <w:r w:rsidRPr="003160E5">
        <w:t>unexplained injuries</w:t>
      </w:r>
    </w:p>
    <w:p w14:paraId="47567B51" w14:textId="77777777" w:rsidR="00E149FD" w:rsidRPr="003160E5" w:rsidRDefault="00E149FD" w:rsidP="00E5692F">
      <w:pPr>
        <w:pStyle w:val="ListParagraph"/>
        <w:numPr>
          <w:ilvl w:val="0"/>
          <w:numId w:val="16"/>
        </w:numPr>
        <w:spacing w:before="120" w:after="120"/>
        <w:ind w:left="1077" w:hanging="357"/>
        <w:contextualSpacing w:val="0"/>
      </w:pPr>
      <w:r w:rsidRPr="003160E5">
        <w:t>self-harm</w:t>
      </w:r>
    </w:p>
    <w:p w14:paraId="5BC5AED0" w14:textId="49C2FDB8" w:rsidR="00E149FD" w:rsidRPr="003160E5" w:rsidRDefault="00E149FD" w:rsidP="00E5692F">
      <w:pPr>
        <w:pStyle w:val="ListParagraph"/>
        <w:numPr>
          <w:ilvl w:val="0"/>
          <w:numId w:val="16"/>
        </w:numPr>
        <w:spacing w:before="120" w:after="120"/>
        <w:ind w:left="1077" w:hanging="357"/>
        <w:contextualSpacing w:val="0"/>
      </w:pPr>
      <w:r w:rsidRPr="003160E5">
        <w:lastRenderedPageBreak/>
        <w:t>lack of possessions/missing canteen purchases</w:t>
      </w:r>
    </w:p>
    <w:p w14:paraId="49D039FA" w14:textId="77777777" w:rsidR="00E149FD" w:rsidRPr="003160E5" w:rsidRDefault="00E149FD" w:rsidP="00E5692F">
      <w:pPr>
        <w:pStyle w:val="ListParagraph"/>
        <w:numPr>
          <w:ilvl w:val="0"/>
          <w:numId w:val="16"/>
        </w:numPr>
        <w:spacing w:before="120" w:after="120"/>
        <w:ind w:left="1077" w:hanging="357"/>
        <w:contextualSpacing w:val="0"/>
      </w:pPr>
      <w:r w:rsidRPr="003160E5">
        <w:t xml:space="preserve">buying canteen items not for personal use </w:t>
      </w:r>
      <w:r>
        <w:t>(</w:t>
      </w:r>
      <w:r w:rsidRPr="003160E5">
        <w:t>e.g. tobacco, if a non-smoker</w:t>
      </w:r>
      <w:r>
        <w:t>)</w:t>
      </w:r>
    </w:p>
    <w:p w14:paraId="544D128C" w14:textId="77777777" w:rsidR="00E149FD" w:rsidRPr="003160E5" w:rsidRDefault="00E149FD" w:rsidP="00E5692F">
      <w:pPr>
        <w:pStyle w:val="ListParagraph"/>
        <w:numPr>
          <w:ilvl w:val="0"/>
          <w:numId w:val="16"/>
        </w:numPr>
        <w:spacing w:before="120" w:after="120"/>
        <w:ind w:left="1077" w:hanging="357"/>
        <w:contextualSpacing w:val="0"/>
      </w:pPr>
      <w:r w:rsidRPr="003160E5">
        <w:t>general behaviour (e.g. withdrawn or upset)</w:t>
      </w:r>
    </w:p>
    <w:p w14:paraId="2BCD5FD3" w14:textId="77777777" w:rsidR="00E149FD" w:rsidRPr="003160E5" w:rsidRDefault="00E149FD" w:rsidP="00A4163E">
      <w:pPr>
        <w:pStyle w:val="ListParagraph"/>
        <w:numPr>
          <w:ilvl w:val="0"/>
          <w:numId w:val="16"/>
        </w:numPr>
        <w:spacing w:before="120" w:after="120"/>
        <w:ind w:left="1077" w:hanging="357"/>
        <w:contextualSpacing w:val="0"/>
      </w:pPr>
      <w:r w:rsidRPr="003160E5">
        <w:t>efforts to change accommodation - sometimes through deliberate breaches of discipline</w:t>
      </w:r>
    </w:p>
    <w:p w14:paraId="4D7786EB" w14:textId="69DE69F1" w:rsidR="00F842EE" w:rsidRDefault="00E149FD" w:rsidP="00525876">
      <w:pPr>
        <w:pStyle w:val="ListParagraph"/>
        <w:numPr>
          <w:ilvl w:val="0"/>
          <w:numId w:val="16"/>
        </w:numPr>
        <w:spacing w:before="120" w:after="120"/>
        <w:ind w:left="1077" w:hanging="357"/>
        <w:contextualSpacing w:val="0"/>
      </w:pPr>
      <w:r w:rsidRPr="003160E5">
        <w:t>changes in routine.</w:t>
      </w:r>
    </w:p>
    <w:p w14:paraId="14932D7A" w14:textId="77777777" w:rsidR="00525876" w:rsidRDefault="00525876" w:rsidP="00525876">
      <w:pPr>
        <w:pStyle w:val="ListParagraph"/>
        <w:spacing w:before="120" w:after="120"/>
        <w:ind w:left="1077"/>
        <w:contextualSpacing w:val="0"/>
      </w:pPr>
    </w:p>
    <w:p w14:paraId="462DA024" w14:textId="26B61381" w:rsidR="00B34CE1" w:rsidRPr="00B34CE1" w:rsidRDefault="00860631" w:rsidP="00E5692F">
      <w:pPr>
        <w:pStyle w:val="Heading1"/>
        <w:spacing w:before="200"/>
      </w:pPr>
      <w:bookmarkStart w:id="5" w:name="_Toc54335867"/>
      <w:r>
        <w:t>General Requirements</w:t>
      </w:r>
      <w:bookmarkEnd w:id="5"/>
    </w:p>
    <w:p w14:paraId="5F654DFB" w14:textId="5D54C401" w:rsidR="00860631" w:rsidRPr="003160E5" w:rsidRDefault="00860631" w:rsidP="00D2528E">
      <w:pPr>
        <w:pStyle w:val="Heading2"/>
        <w:spacing w:before="120"/>
      </w:pPr>
      <w:bookmarkStart w:id="6" w:name="_Toc54335868"/>
      <w:r w:rsidRPr="003160E5">
        <w:t>Awareness</w:t>
      </w:r>
      <w:bookmarkEnd w:id="6"/>
    </w:p>
    <w:p w14:paraId="4C6D8C45" w14:textId="2888A186" w:rsidR="0069300C" w:rsidRDefault="00860631" w:rsidP="00D2528E">
      <w:pPr>
        <w:pStyle w:val="Heading3"/>
        <w:spacing w:before="120"/>
      </w:pPr>
      <w:r w:rsidRPr="003160E5">
        <w:t xml:space="preserve">A whole prison approach to reduce bullying by changing the climate and culture of prisons </w:t>
      </w:r>
      <w:r w:rsidR="009C1CD2">
        <w:t>requires</w:t>
      </w:r>
      <w:r w:rsidRPr="003160E5">
        <w:t xml:space="preserve"> to be </w:t>
      </w:r>
      <w:r w:rsidR="009C1CD2">
        <w:t>adopted, commencing at reception.</w:t>
      </w:r>
      <w:r w:rsidRPr="003160E5">
        <w:t xml:space="preserve"> </w:t>
      </w:r>
    </w:p>
    <w:p w14:paraId="21AB1719" w14:textId="176AA410" w:rsidR="00613844" w:rsidRDefault="00860631" w:rsidP="00D2528E">
      <w:pPr>
        <w:pStyle w:val="Heading3"/>
        <w:spacing w:before="120"/>
      </w:pPr>
      <w:r w:rsidRPr="003160E5">
        <w:t xml:space="preserve">Staff, prisoners and visitors need to be </w:t>
      </w:r>
      <w:r w:rsidR="00360EA6">
        <w:t>cognisant of</w:t>
      </w:r>
      <w:r w:rsidRPr="003160E5">
        <w:t xml:space="preserve"> the nature, extent and harmful consequences of bullying</w:t>
      </w:r>
      <w:r w:rsidR="00360EA6">
        <w:t xml:space="preserve"> and </w:t>
      </w:r>
      <w:r w:rsidR="00360EA6" w:rsidRPr="003160E5">
        <w:t>work together to address bullying behaviour</w:t>
      </w:r>
      <w:r w:rsidR="005C6E8E">
        <w:t>s</w:t>
      </w:r>
      <w:r w:rsidR="00360EA6" w:rsidRPr="003160E5">
        <w:t xml:space="preserve"> in each prison</w:t>
      </w:r>
      <w:r w:rsidRPr="003160E5">
        <w:t xml:space="preserve">. </w:t>
      </w:r>
    </w:p>
    <w:p w14:paraId="639768CC" w14:textId="74163686" w:rsidR="00037055" w:rsidRPr="00037055" w:rsidRDefault="0036394E" w:rsidP="00037055">
      <w:pPr>
        <w:pStyle w:val="Heading3"/>
        <w:spacing w:before="120"/>
      </w:pPr>
      <w:r>
        <w:t xml:space="preserve">Information on the detrimental impact of bullying and the potential sanctions that can be imposed, is communicated clearly and in a manner, pace and language understood by each prisoner. </w:t>
      </w:r>
    </w:p>
    <w:p w14:paraId="4C293829" w14:textId="68CAE7EF" w:rsidR="00860631" w:rsidRPr="003160E5" w:rsidRDefault="00860631" w:rsidP="00D2528E">
      <w:pPr>
        <w:pStyle w:val="Heading2"/>
        <w:spacing w:before="120"/>
      </w:pPr>
      <w:bookmarkStart w:id="7" w:name="_Toc54335869"/>
      <w:r w:rsidRPr="003160E5">
        <w:t>Identification</w:t>
      </w:r>
      <w:bookmarkEnd w:id="7"/>
    </w:p>
    <w:p w14:paraId="13820BE5" w14:textId="5CEDB839" w:rsidR="00F842EE" w:rsidRPr="00F842EE" w:rsidRDefault="00360EA6" w:rsidP="00F842EE">
      <w:pPr>
        <w:pStyle w:val="Heading3"/>
        <w:spacing w:before="120"/>
      </w:pPr>
      <w:r>
        <w:t xml:space="preserve">All staff should be advised of prisoners who </w:t>
      </w:r>
      <w:r w:rsidR="00860631" w:rsidRPr="003160E5">
        <w:t>are suspected or known to be</w:t>
      </w:r>
      <w:r>
        <w:t xml:space="preserve"> the victims or perpetrators of bullying behaviour. </w:t>
      </w:r>
    </w:p>
    <w:p w14:paraId="1F0A029D" w14:textId="1A178009" w:rsidR="0069300C" w:rsidRPr="003160E5" w:rsidRDefault="0069300C" w:rsidP="00D2528E">
      <w:pPr>
        <w:pStyle w:val="Heading2"/>
        <w:spacing w:before="120"/>
      </w:pPr>
      <w:bookmarkStart w:id="8" w:name="Evaluation"/>
      <w:bookmarkStart w:id="9" w:name="_Toc54335870"/>
      <w:r w:rsidRPr="003160E5">
        <w:t>Evaluation</w:t>
      </w:r>
      <w:bookmarkEnd w:id="8"/>
      <w:bookmarkEnd w:id="9"/>
    </w:p>
    <w:p w14:paraId="2B9EF809" w14:textId="7045BB27" w:rsidR="00F842EE" w:rsidRDefault="0069300C" w:rsidP="00F842EE">
      <w:pPr>
        <w:pStyle w:val="Heading3"/>
      </w:pPr>
      <w:r w:rsidRPr="003160E5">
        <w:t xml:space="preserve">Responsibilities for developing </w:t>
      </w:r>
      <w:r w:rsidR="00E149FD">
        <w:t xml:space="preserve">and leading </w:t>
      </w:r>
      <w:r w:rsidRPr="003160E5">
        <w:t xml:space="preserve">the anti-bullying response </w:t>
      </w:r>
      <w:r w:rsidR="00E149FD">
        <w:t xml:space="preserve">within the prison can be </w:t>
      </w:r>
      <w:r w:rsidR="00E149FD" w:rsidRPr="003160E5">
        <w:t>supported</w:t>
      </w:r>
      <w:r w:rsidR="00C524C9">
        <w:t xml:space="preserve"> by implementing </w:t>
      </w:r>
      <w:r w:rsidRPr="003160E5">
        <w:t xml:space="preserve">a workgroup such as a local </w:t>
      </w:r>
      <w:r w:rsidR="00B55BA0">
        <w:t>a</w:t>
      </w:r>
      <w:r w:rsidRPr="003160E5">
        <w:t>nti-</w:t>
      </w:r>
      <w:r w:rsidR="00B55BA0">
        <w:t>b</w:t>
      </w:r>
      <w:r w:rsidRPr="003160E5">
        <w:t xml:space="preserve">ullying </w:t>
      </w:r>
      <w:r w:rsidR="00B55BA0">
        <w:t>c</w:t>
      </w:r>
      <w:r w:rsidRPr="003160E5">
        <w:t>ommittee</w:t>
      </w:r>
      <w:r w:rsidR="00777A67">
        <w:t xml:space="preserve"> and review as considered necessary</w:t>
      </w:r>
      <w:r w:rsidR="00F842EE">
        <w:t>.</w:t>
      </w:r>
    </w:p>
    <w:p w14:paraId="01520FA4" w14:textId="77777777" w:rsidR="00777A67" w:rsidRPr="00777A67" w:rsidRDefault="00777A67" w:rsidP="00777A67"/>
    <w:p w14:paraId="14AB776F" w14:textId="4C8EEF46" w:rsidR="0069300C" w:rsidRPr="003160E5" w:rsidRDefault="0069300C" w:rsidP="00D2528E">
      <w:pPr>
        <w:pStyle w:val="Heading1"/>
        <w:spacing w:before="200"/>
      </w:pPr>
      <w:bookmarkStart w:id="10" w:name="_Toc54335871"/>
      <w:r>
        <w:t>Procedures for Addressing Bullying Behaviour</w:t>
      </w:r>
      <w:r w:rsidR="001E1540">
        <w:t xml:space="preserve"> in Prisoners</w:t>
      </w:r>
      <w:bookmarkEnd w:id="10"/>
    </w:p>
    <w:p w14:paraId="1111A063" w14:textId="3E14279D" w:rsidR="0069300C" w:rsidRPr="003160E5" w:rsidRDefault="00CF0D69" w:rsidP="00D2528E">
      <w:pPr>
        <w:pStyle w:val="Heading2"/>
        <w:spacing w:before="120"/>
      </w:pPr>
      <w:bookmarkStart w:id="11" w:name="Managing_the_Victim"/>
      <w:bookmarkStart w:id="12" w:name="_Toc54335872"/>
      <w:r>
        <w:t>Supporting</w:t>
      </w:r>
      <w:r w:rsidR="0069300C" w:rsidRPr="003160E5">
        <w:t xml:space="preserve"> the </w:t>
      </w:r>
      <w:r>
        <w:t>v</w:t>
      </w:r>
      <w:r w:rsidR="0069300C" w:rsidRPr="003160E5">
        <w:t>ictim</w:t>
      </w:r>
      <w:bookmarkEnd w:id="11"/>
      <w:bookmarkEnd w:id="12"/>
    </w:p>
    <w:p w14:paraId="6C42BF3E" w14:textId="7792AD23" w:rsidR="0069300C" w:rsidRDefault="00B46CD7" w:rsidP="00D2528E">
      <w:pPr>
        <w:pStyle w:val="Heading3"/>
        <w:spacing w:before="120"/>
      </w:pPr>
      <w:r>
        <w:t xml:space="preserve">Prison staff shall treat </w:t>
      </w:r>
      <w:r w:rsidR="00E7053D">
        <w:t xml:space="preserve">a </w:t>
      </w:r>
      <w:r>
        <w:t xml:space="preserve">prisoner </w:t>
      </w:r>
      <w:r w:rsidR="0069300C" w:rsidRPr="003160E5">
        <w:t>who claim</w:t>
      </w:r>
      <w:r w:rsidR="00E7053D">
        <w:t>s</w:t>
      </w:r>
      <w:r w:rsidR="0069300C" w:rsidRPr="003160E5">
        <w:t xml:space="preserve"> they are being bullied or who staff suspect are being bullied in a professional and sensitive manner at all times.</w:t>
      </w:r>
    </w:p>
    <w:p w14:paraId="38AE405A" w14:textId="450F247F" w:rsidR="00F842EE" w:rsidRPr="00F842EE" w:rsidRDefault="00B55BA0" w:rsidP="00F842EE">
      <w:pPr>
        <w:pStyle w:val="Heading3"/>
        <w:spacing w:before="120"/>
      </w:pPr>
      <w:r>
        <w:t xml:space="preserve">Prison </w:t>
      </w:r>
      <w:r w:rsidR="009C1CD2">
        <w:t>staff</w:t>
      </w:r>
      <w:r>
        <w:t xml:space="preserve"> </w:t>
      </w:r>
      <w:r w:rsidR="00E149FD">
        <w:t>shall apply their interpersonal communication skills to encourage and draw out information from prisoners.</w:t>
      </w:r>
      <w:r w:rsidR="00497270">
        <w:t xml:space="preserve"> </w:t>
      </w:r>
    </w:p>
    <w:p w14:paraId="175AFEAA" w14:textId="03AFE015" w:rsidR="00777A67" w:rsidRPr="00777A67" w:rsidRDefault="00B55BA0" w:rsidP="00777A67">
      <w:pPr>
        <w:pStyle w:val="Heading3"/>
        <w:spacing w:before="120"/>
      </w:pPr>
      <w:r>
        <w:t xml:space="preserve">Prison </w:t>
      </w:r>
      <w:r w:rsidR="009C1CD2">
        <w:t xml:space="preserve">staff </w:t>
      </w:r>
      <w:r w:rsidR="00E149FD">
        <w:t xml:space="preserve">shall </w:t>
      </w:r>
      <w:r w:rsidR="009C1CD2">
        <w:t>encourage and reinforce the positive steps taken by the prisoner re</w:t>
      </w:r>
      <w:r w:rsidR="00B46CD7">
        <w:t>porting an incident of bullying.</w:t>
      </w:r>
    </w:p>
    <w:p w14:paraId="70F7E6EA" w14:textId="4D2F3CF9" w:rsidR="00777A67" w:rsidRPr="00777A67" w:rsidRDefault="00007457" w:rsidP="00777A67">
      <w:pPr>
        <w:pStyle w:val="Heading3"/>
        <w:spacing w:before="120"/>
      </w:pPr>
      <w:r>
        <w:t xml:space="preserve">Prison </w:t>
      </w:r>
      <w:r w:rsidR="00B46CD7">
        <w:t>staff</w:t>
      </w:r>
      <w:r>
        <w:t xml:space="preserve"> shall</w:t>
      </w:r>
      <w:r w:rsidRPr="003160E5">
        <w:t xml:space="preserve"> reassure the prisoner that their identity will be protected and encourage the prisoner to report any further incidents.</w:t>
      </w:r>
    </w:p>
    <w:p w14:paraId="4AA85538" w14:textId="4409B74A" w:rsidR="00E149FD" w:rsidRDefault="00E149FD" w:rsidP="00D2528E">
      <w:pPr>
        <w:pStyle w:val="Heading3"/>
        <w:spacing w:before="120"/>
      </w:pPr>
      <w:r>
        <w:t xml:space="preserve">Prison </w:t>
      </w:r>
      <w:r w:rsidR="00B46CD7">
        <w:t>staff</w:t>
      </w:r>
      <w:r>
        <w:t xml:space="preserve"> shall report initial suspicions as soon as possible</w:t>
      </w:r>
      <w:r w:rsidR="00D727A5">
        <w:t xml:space="preserve"> to the </w:t>
      </w:r>
      <w:r w:rsidR="005C6E8E">
        <w:t>U</w:t>
      </w:r>
      <w:r w:rsidR="00D727A5">
        <w:t xml:space="preserve">nit </w:t>
      </w:r>
      <w:r w:rsidR="005C6E8E">
        <w:t>M</w:t>
      </w:r>
      <w:r w:rsidR="00D727A5">
        <w:t>anager/</w:t>
      </w:r>
      <w:r w:rsidR="005C6E8E">
        <w:t>Principal O</w:t>
      </w:r>
      <w:r w:rsidR="00D727A5">
        <w:t>fficer/OIC</w:t>
      </w:r>
      <w:r>
        <w:t xml:space="preserve">. </w:t>
      </w:r>
    </w:p>
    <w:p w14:paraId="1FBB34DD" w14:textId="77777777" w:rsidR="00A4163E" w:rsidRPr="00A4163E" w:rsidRDefault="00A4163E" w:rsidP="00A4163E"/>
    <w:p w14:paraId="2E11B179" w14:textId="77777777" w:rsidR="00936F5E" w:rsidRDefault="00E149FD" w:rsidP="00D2528E">
      <w:pPr>
        <w:pStyle w:val="Heading3"/>
        <w:spacing w:before="120"/>
      </w:pPr>
      <w:r>
        <w:lastRenderedPageBreak/>
        <w:t xml:space="preserve">Prison </w:t>
      </w:r>
      <w:r w:rsidR="00B46CD7">
        <w:t>staff</w:t>
      </w:r>
      <w:r>
        <w:t xml:space="preserve"> shall closely monitor and provide on-going support to the prisoner, w</w:t>
      </w:r>
      <w:r w:rsidR="0069300C" w:rsidRPr="003160E5">
        <w:t>here</w:t>
      </w:r>
      <w:r w:rsidR="00936F5E">
        <w:t>:</w:t>
      </w:r>
    </w:p>
    <w:p w14:paraId="36DA2C99" w14:textId="3AE86ECE" w:rsidR="001413F8" w:rsidRDefault="0069300C" w:rsidP="00D2528E">
      <w:pPr>
        <w:pStyle w:val="ListParagraph"/>
        <w:numPr>
          <w:ilvl w:val="0"/>
          <w:numId w:val="25"/>
        </w:numPr>
        <w:spacing w:before="120" w:after="120"/>
        <w:ind w:left="1077" w:hanging="357"/>
        <w:contextualSpacing w:val="0"/>
      </w:pPr>
      <w:r w:rsidRPr="003160E5">
        <w:t xml:space="preserve">there is insufficient evidence to prove </w:t>
      </w:r>
      <w:r w:rsidR="00B55BA0">
        <w:t>they are being bullied</w:t>
      </w:r>
    </w:p>
    <w:p w14:paraId="01EF9FD8" w14:textId="3D06A6EE" w:rsidR="00936F5E" w:rsidRDefault="00936F5E" w:rsidP="00D2528E">
      <w:pPr>
        <w:pStyle w:val="ListParagraph"/>
        <w:numPr>
          <w:ilvl w:val="0"/>
          <w:numId w:val="25"/>
        </w:numPr>
        <w:spacing w:before="120" w:after="120"/>
        <w:ind w:left="1077" w:hanging="357"/>
        <w:contextualSpacing w:val="0"/>
      </w:pPr>
      <w:r>
        <w:t>the prisoner verbalises they do not want any action taken.</w:t>
      </w:r>
    </w:p>
    <w:p w14:paraId="38EC4519" w14:textId="7887BDEE" w:rsidR="00497270" w:rsidRPr="00936F5E" w:rsidRDefault="00497270" w:rsidP="00D2528E">
      <w:pPr>
        <w:pStyle w:val="Heading3"/>
        <w:spacing w:before="120"/>
      </w:pPr>
      <w:r>
        <w:t xml:space="preserve">Prison staff may consider </w:t>
      </w:r>
      <w:r w:rsidR="00FD1E63">
        <w:t xml:space="preserve">completing </w:t>
      </w:r>
      <w:r>
        <w:t xml:space="preserve">an </w:t>
      </w:r>
      <w:hyperlink w:anchor="_Related_COPPS_and" w:history="1">
        <w:r w:rsidRPr="00904577">
          <w:rPr>
            <w:rStyle w:val="Hyperlink"/>
            <w:color w:val="auto"/>
            <w:u w:val="none"/>
          </w:rPr>
          <w:t>ARMS</w:t>
        </w:r>
      </w:hyperlink>
      <w:r w:rsidRPr="00904577">
        <w:rPr>
          <w:color w:val="auto"/>
        </w:rPr>
        <w:t xml:space="preserve"> </w:t>
      </w:r>
      <w:r>
        <w:t xml:space="preserve">referral </w:t>
      </w:r>
      <w:r w:rsidR="00FD1E63">
        <w:t xml:space="preserve">on TOMS </w:t>
      </w:r>
      <w:r>
        <w:t xml:space="preserve">or the involvement of other supports, such as </w:t>
      </w:r>
      <w:r w:rsidR="00474926">
        <w:t>Psychological Health</w:t>
      </w:r>
      <w:r w:rsidR="00712169">
        <w:t xml:space="preserve"> </w:t>
      </w:r>
      <w:r w:rsidR="00421B1A">
        <w:t>Services</w:t>
      </w:r>
      <w:r w:rsidR="00FD1E63">
        <w:t xml:space="preserve"> (P</w:t>
      </w:r>
      <w:r w:rsidR="006A0618">
        <w:t>H</w:t>
      </w:r>
      <w:r w:rsidR="00FD1E63">
        <w:t>S referral on TOMS)</w:t>
      </w:r>
      <w:r w:rsidR="00421B1A">
        <w:t>, where there are concerns about the impact of the bullying on the prisoner.</w:t>
      </w:r>
    </w:p>
    <w:p w14:paraId="663B7DE4" w14:textId="77777777" w:rsidR="00B46CD7" w:rsidRDefault="00B46CD7" w:rsidP="00D2528E">
      <w:pPr>
        <w:pStyle w:val="Heading3"/>
        <w:spacing w:before="120"/>
      </w:pPr>
      <w:r>
        <w:t>Prison staff shall brief the victim on any actions taken to address the bullying behaviour and document all information on TOMS.</w:t>
      </w:r>
    </w:p>
    <w:p w14:paraId="3A69C635" w14:textId="299BA322" w:rsidR="0069300C" w:rsidRDefault="00B55BA0" w:rsidP="00D2528E">
      <w:pPr>
        <w:pStyle w:val="Heading3"/>
        <w:spacing w:before="120"/>
      </w:pPr>
      <w:r>
        <w:t>The Unit Manager may consider the removal of the prisoner</w:t>
      </w:r>
      <w:r w:rsidR="00B46CD7">
        <w:t xml:space="preserve"> to another area of the prison</w:t>
      </w:r>
      <w:r w:rsidR="00191543">
        <w:t>, or recommend another prison</w:t>
      </w:r>
      <w:r w:rsidR="00B46CD7">
        <w:t>, if this is deemed appropriate.</w:t>
      </w:r>
      <w:r w:rsidR="0069300C" w:rsidRPr="003160E5">
        <w:t xml:space="preserve"> This course of action should</w:t>
      </w:r>
      <w:r w:rsidR="0095690D">
        <w:t xml:space="preserve"> </w:t>
      </w:r>
      <w:r w:rsidR="0069300C" w:rsidRPr="003160E5">
        <w:t xml:space="preserve">be </w:t>
      </w:r>
      <w:r w:rsidR="00B46CD7">
        <w:t xml:space="preserve">deemed an option of </w:t>
      </w:r>
      <w:r w:rsidR="0069300C" w:rsidRPr="003160E5">
        <w:t>last resort.</w:t>
      </w:r>
    </w:p>
    <w:p w14:paraId="06E5A3D1" w14:textId="70C4DF1B" w:rsidR="0069300C" w:rsidRDefault="00B55BA0" w:rsidP="00D2528E">
      <w:pPr>
        <w:pStyle w:val="Heading3"/>
        <w:spacing w:before="120"/>
      </w:pPr>
      <w:r w:rsidRPr="003160E5">
        <w:t xml:space="preserve">Each prison may designate a particular officer(s) who can be called upon </w:t>
      </w:r>
      <w:r>
        <w:t xml:space="preserve">when required to </w:t>
      </w:r>
      <w:r w:rsidR="00007457">
        <w:t xml:space="preserve">provide </w:t>
      </w:r>
      <w:r>
        <w:t xml:space="preserve">support </w:t>
      </w:r>
      <w:r w:rsidR="00007457">
        <w:t>and as</w:t>
      </w:r>
      <w:r w:rsidR="001413F8">
        <w:t>sistance to the prisoner.</w:t>
      </w:r>
    </w:p>
    <w:p w14:paraId="4C5D2E5C" w14:textId="2B870D9D" w:rsidR="00C310FA" w:rsidRPr="003160E5" w:rsidRDefault="00C310FA" w:rsidP="00D2528E">
      <w:pPr>
        <w:pStyle w:val="Heading2"/>
        <w:spacing w:before="120"/>
      </w:pPr>
      <w:bookmarkStart w:id="13" w:name="_Toc54335873"/>
      <w:r w:rsidRPr="003160E5">
        <w:t>Intervention</w:t>
      </w:r>
      <w:r>
        <w:t>s to address bullying behaviours</w:t>
      </w:r>
      <w:bookmarkEnd w:id="13"/>
    </w:p>
    <w:p w14:paraId="2DC857FD" w14:textId="77777777" w:rsidR="00C310FA" w:rsidRDefault="00C310FA" w:rsidP="00D2528E">
      <w:pPr>
        <w:pStyle w:val="Heading3"/>
        <w:spacing w:before="120"/>
      </w:pPr>
      <w:r>
        <w:t>A multidisciplinary approach, utilising a variety of interventions</w:t>
      </w:r>
      <w:r w:rsidRPr="003160E5">
        <w:t xml:space="preserve"> </w:t>
      </w:r>
      <w:r>
        <w:t>will assist in address bullying behaviour, taking into consideration individual circumstances and the needs of different prisoner populations throughout the State.</w:t>
      </w:r>
    </w:p>
    <w:p w14:paraId="79E45335" w14:textId="77777777" w:rsidR="00C310FA" w:rsidRDefault="00C310FA" w:rsidP="00D2528E">
      <w:pPr>
        <w:pStyle w:val="Heading3"/>
        <w:spacing w:before="120"/>
      </w:pPr>
      <w:r w:rsidRPr="003160E5">
        <w:t>Intervention</w:t>
      </w:r>
      <w:r>
        <w:t>s</w:t>
      </w:r>
      <w:r w:rsidRPr="003160E5">
        <w:t xml:space="preserve"> </w:t>
      </w:r>
      <w:r>
        <w:t>to address bullying behaviour can</w:t>
      </w:r>
      <w:r w:rsidRPr="003160E5">
        <w:t xml:space="preserve"> take a number of forms and may include</w:t>
      </w:r>
      <w:r>
        <w:t>:</w:t>
      </w:r>
    </w:p>
    <w:p w14:paraId="47591157" w14:textId="0F1580A2" w:rsidR="00C310FA" w:rsidRDefault="00C310FA" w:rsidP="00D2528E">
      <w:pPr>
        <w:pStyle w:val="ListParagraph"/>
        <w:numPr>
          <w:ilvl w:val="0"/>
          <w:numId w:val="26"/>
        </w:numPr>
        <w:spacing w:before="120" w:after="120"/>
        <w:ind w:left="1077" w:hanging="357"/>
        <w:contextualSpacing w:val="0"/>
      </w:pPr>
      <w:r w:rsidRPr="003160E5">
        <w:t xml:space="preserve">structured interviews with </w:t>
      </w:r>
      <w:r>
        <w:t>u</w:t>
      </w:r>
      <w:r w:rsidRPr="003160E5">
        <w:t xml:space="preserve">nit </w:t>
      </w:r>
      <w:r>
        <w:t>s</w:t>
      </w:r>
      <w:r w:rsidR="00D727A5">
        <w:t>taff/unit manager</w:t>
      </w:r>
    </w:p>
    <w:p w14:paraId="15CF4A2C" w14:textId="28AE5077" w:rsidR="00C310FA" w:rsidRDefault="00D727A5" w:rsidP="00D2528E">
      <w:pPr>
        <w:pStyle w:val="ListParagraph"/>
        <w:numPr>
          <w:ilvl w:val="0"/>
          <w:numId w:val="26"/>
        </w:numPr>
        <w:spacing w:before="120" w:after="120"/>
        <w:ind w:left="1077" w:hanging="357"/>
        <w:contextualSpacing w:val="0"/>
      </w:pPr>
      <w:r>
        <w:t>discussions with the prison counselling service</w:t>
      </w:r>
      <w:r w:rsidR="00C310FA">
        <w:t>,</w:t>
      </w:r>
      <w:r w:rsidR="00C310FA" w:rsidRPr="003160E5">
        <w:t xml:space="preserve"> </w:t>
      </w:r>
      <w:r>
        <w:t>peer</w:t>
      </w:r>
      <w:r w:rsidR="00C310FA" w:rsidRPr="003160E5">
        <w:t xml:space="preserve"> </w:t>
      </w:r>
      <w:r>
        <w:t>s</w:t>
      </w:r>
      <w:r w:rsidR="00C310FA" w:rsidRPr="003160E5">
        <w:t xml:space="preserve">upport or coaching by staff.  </w:t>
      </w:r>
    </w:p>
    <w:p w14:paraId="5645CE23" w14:textId="0B9A79A1" w:rsidR="00007457" w:rsidRDefault="00007457" w:rsidP="00D2528E">
      <w:pPr>
        <w:pStyle w:val="Heading3"/>
        <w:spacing w:before="120"/>
      </w:pPr>
      <w:r>
        <w:t xml:space="preserve">Prison </w:t>
      </w:r>
      <w:r w:rsidR="00B46CD7">
        <w:t>staff</w:t>
      </w:r>
      <w:r w:rsidR="00D727A5">
        <w:t xml:space="preserve"> and/or service providers</w:t>
      </w:r>
      <w:r>
        <w:t xml:space="preserve"> shall apply targeted interventions to address the bullying behaviours with prisoners identified as displaying bullying behaviour.</w:t>
      </w:r>
    </w:p>
    <w:p w14:paraId="1DBE498E" w14:textId="449594E8" w:rsidR="006F52B0" w:rsidRDefault="00007457" w:rsidP="00D2528E">
      <w:pPr>
        <w:pStyle w:val="Heading3"/>
        <w:spacing w:before="120"/>
      </w:pPr>
      <w:r>
        <w:t xml:space="preserve">Prison Officers shall manage the bullying behaviour in accordance with </w:t>
      </w:r>
      <w:hyperlink r:id="rId15" w:history="1">
        <w:r w:rsidRPr="00310CD3">
          <w:rPr>
            <w:rStyle w:val="Hyperlink"/>
          </w:rPr>
          <w:t xml:space="preserve">COPP 10.1 Prisoner </w:t>
        </w:r>
        <w:r w:rsidR="005834E8" w:rsidRPr="00310CD3">
          <w:rPr>
            <w:rStyle w:val="Hyperlink"/>
          </w:rPr>
          <w:t>Behaviour Management</w:t>
        </w:r>
      </w:hyperlink>
      <w:r>
        <w:t xml:space="preserve"> and </w:t>
      </w:r>
      <w:hyperlink r:id="rId16" w:history="1">
        <w:r w:rsidRPr="00CD4D76">
          <w:rPr>
            <w:rStyle w:val="Hyperlink"/>
          </w:rPr>
          <w:t>COPP 10.</w:t>
        </w:r>
        <w:r w:rsidR="005834E8" w:rsidRPr="00CD4D76">
          <w:rPr>
            <w:rStyle w:val="Hyperlink"/>
          </w:rPr>
          <w:t xml:space="preserve">5 </w:t>
        </w:r>
        <w:r w:rsidRPr="00CD4D76">
          <w:rPr>
            <w:rStyle w:val="Hyperlink"/>
          </w:rPr>
          <w:t xml:space="preserve">Prisoner </w:t>
        </w:r>
        <w:r w:rsidR="003D1C51" w:rsidRPr="00CD4D76">
          <w:rPr>
            <w:rStyle w:val="Hyperlink"/>
          </w:rPr>
          <w:t xml:space="preserve">Offences and </w:t>
        </w:r>
        <w:r w:rsidRPr="00CD4D76">
          <w:rPr>
            <w:rStyle w:val="Hyperlink"/>
          </w:rPr>
          <w:t>Charges</w:t>
        </w:r>
      </w:hyperlink>
      <w:r w:rsidR="006F52B0">
        <w:t>.</w:t>
      </w:r>
    </w:p>
    <w:p w14:paraId="7C75EB2F" w14:textId="67EDBA48" w:rsidR="00B46CD7" w:rsidRDefault="00B46CD7" w:rsidP="00D2528E">
      <w:pPr>
        <w:pStyle w:val="Heading2"/>
        <w:spacing w:before="120"/>
      </w:pPr>
      <w:bookmarkStart w:id="14" w:name="_Toc54335874"/>
      <w:r>
        <w:t>Reporting</w:t>
      </w:r>
      <w:bookmarkEnd w:id="14"/>
    </w:p>
    <w:p w14:paraId="5FB6F656" w14:textId="027CC45E" w:rsidR="00C310FA" w:rsidRDefault="00C310FA" w:rsidP="00D2528E">
      <w:pPr>
        <w:pStyle w:val="Heading3"/>
        <w:spacing w:before="120"/>
      </w:pPr>
      <w:r>
        <w:t>Prison staff</w:t>
      </w:r>
      <w:r w:rsidR="00D727A5">
        <w:t xml:space="preserve"> and/or service providers</w:t>
      </w:r>
      <w:r>
        <w:t xml:space="preserve"> shall document </w:t>
      </w:r>
      <w:r w:rsidR="00936F5E">
        <w:t xml:space="preserve">and report </w:t>
      </w:r>
      <w:r>
        <w:t>all s</w:t>
      </w:r>
      <w:r w:rsidRPr="003160E5">
        <w:t xml:space="preserve">uspicions </w:t>
      </w:r>
      <w:r>
        <w:t>of bullying by a prisoner</w:t>
      </w:r>
      <w:r w:rsidR="00936F5E">
        <w:t xml:space="preserve"> on the prisoner’s file and in accordance with </w:t>
      </w:r>
      <w:hyperlink r:id="rId17" w:history="1">
        <w:r w:rsidR="00936F5E" w:rsidRPr="00CD4D76">
          <w:rPr>
            <w:rStyle w:val="Hyperlink"/>
          </w:rPr>
          <w:t xml:space="preserve">COPP 13.1 Incident </w:t>
        </w:r>
        <w:r w:rsidR="00861E5A" w:rsidRPr="00CD4D76">
          <w:rPr>
            <w:rStyle w:val="Hyperlink"/>
          </w:rPr>
          <w:t xml:space="preserve">Notifications, </w:t>
        </w:r>
        <w:r w:rsidR="00936F5E" w:rsidRPr="00CD4D76">
          <w:rPr>
            <w:rStyle w:val="Hyperlink"/>
          </w:rPr>
          <w:t xml:space="preserve">Reporting and </w:t>
        </w:r>
        <w:r w:rsidR="00861E5A" w:rsidRPr="00CD4D76">
          <w:rPr>
            <w:rStyle w:val="Hyperlink"/>
          </w:rPr>
          <w:t>Communications</w:t>
        </w:r>
      </w:hyperlink>
      <w:r w:rsidR="00936F5E">
        <w:t>, when</w:t>
      </w:r>
      <w:r>
        <w:t>:</w:t>
      </w:r>
    </w:p>
    <w:p w14:paraId="0915287F" w14:textId="71D590DE" w:rsidR="00C310FA" w:rsidRDefault="00191543" w:rsidP="00D2528E">
      <w:pPr>
        <w:pStyle w:val="ListParagraph"/>
        <w:numPr>
          <w:ilvl w:val="0"/>
          <w:numId w:val="27"/>
        </w:numPr>
        <w:spacing w:before="120" w:after="120"/>
        <w:ind w:left="1077" w:hanging="357"/>
        <w:contextualSpacing w:val="0"/>
      </w:pPr>
      <w:r>
        <w:t>i</w:t>
      </w:r>
      <w:r w:rsidR="00C310FA" w:rsidRPr="003160E5">
        <w:t>nformation</w:t>
      </w:r>
      <w:r w:rsidR="00936F5E">
        <w:t xml:space="preserve"> is received</w:t>
      </w:r>
      <w:r w:rsidR="00C310FA" w:rsidRPr="003160E5">
        <w:t xml:space="preserve"> from a prisoner </w:t>
      </w:r>
    </w:p>
    <w:p w14:paraId="0BBF4F28" w14:textId="6E69B556" w:rsidR="00C310FA" w:rsidRDefault="00936F5E" w:rsidP="00D2528E">
      <w:pPr>
        <w:pStyle w:val="ListParagraph"/>
        <w:numPr>
          <w:ilvl w:val="0"/>
          <w:numId w:val="27"/>
        </w:numPr>
        <w:spacing w:before="120" w:after="120"/>
        <w:ind w:left="1077" w:hanging="357"/>
        <w:contextualSpacing w:val="0"/>
      </w:pPr>
      <w:r>
        <w:t xml:space="preserve">a prisoner presents with an </w:t>
      </w:r>
      <w:r w:rsidR="00C310FA">
        <w:t>injury</w:t>
      </w:r>
      <w:r w:rsidR="00C310FA" w:rsidRPr="003160E5">
        <w:t xml:space="preserve"> </w:t>
      </w:r>
    </w:p>
    <w:p w14:paraId="454C5BCA" w14:textId="3D8EF1BF" w:rsidR="00C310FA" w:rsidRDefault="00C310FA" w:rsidP="0011521F">
      <w:pPr>
        <w:pStyle w:val="ListParagraph"/>
        <w:numPr>
          <w:ilvl w:val="0"/>
          <w:numId w:val="27"/>
        </w:numPr>
        <w:spacing w:before="120" w:after="120"/>
        <w:ind w:left="1077" w:hanging="357"/>
        <w:contextualSpacing w:val="0"/>
      </w:pPr>
      <w:r w:rsidRPr="003160E5">
        <w:t xml:space="preserve">an incident </w:t>
      </w:r>
      <w:r w:rsidR="00936F5E">
        <w:t xml:space="preserve">is </w:t>
      </w:r>
      <w:r w:rsidRPr="003160E5">
        <w:t xml:space="preserve">witnessed or a conversation </w:t>
      </w:r>
      <w:r w:rsidR="00936F5E">
        <w:t xml:space="preserve">is </w:t>
      </w:r>
      <w:r w:rsidRPr="003160E5">
        <w:t xml:space="preserve">overheard. </w:t>
      </w:r>
    </w:p>
    <w:p w14:paraId="193D82D8" w14:textId="645C8B63" w:rsidR="0069300C" w:rsidRPr="003160E5" w:rsidRDefault="0069300C" w:rsidP="0011521F">
      <w:pPr>
        <w:pStyle w:val="Heading2"/>
        <w:spacing w:before="120"/>
      </w:pPr>
      <w:bookmarkStart w:id="15" w:name="General"/>
      <w:bookmarkStart w:id="16" w:name="_Toc54335875"/>
      <w:r w:rsidRPr="003160E5">
        <w:lastRenderedPageBreak/>
        <w:t>General</w:t>
      </w:r>
      <w:bookmarkEnd w:id="15"/>
      <w:bookmarkEnd w:id="16"/>
    </w:p>
    <w:p w14:paraId="67D165DE" w14:textId="66EEC368" w:rsidR="00B55BA0" w:rsidRDefault="00B55BA0" w:rsidP="00C97174">
      <w:pPr>
        <w:pStyle w:val="Heading3"/>
        <w:spacing w:before="120"/>
      </w:pPr>
      <w:r>
        <w:t>Unit staff shall</w:t>
      </w:r>
      <w:r w:rsidR="000F5786">
        <w:t>, w</w:t>
      </w:r>
      <w:r w:rsidR="000F5786" w:rsidRPr="003160E5">
        <w:t>he</w:t>
      </w:r>
      <w:r w:rsidR="000F5786">
        <w:t>n</w:t>
      </w:r>
      <w:r w:rsidR="000F5786" w:rsidRPr="003160E5">
        <w:t xml:space="preserve"> prisoners</w:t>
      </w:r>
      <w:r w:rsidR="000F5786">
        <w:t xml:space="preserve"> </w:t>
      </w:r>
      <w:r w:rsidR="000F5786" w:rsidRPr="003160E5">
        <w:t xml:space="preserve">are transferred between </w:t>
      </w:r>
      <w:r w:rsidR="000F5786">
        <w:t>u</w:t>
      </w:r>
      <w:r w:rsidR="000F5786" w:rsidRPr="003160E5">
        <w:t>nits</w:t>
      </w:r>
      <w:r w:rsidR="000F5786">
        <w:t xml:space="preserve"> or between prisons, </w:t>
      </w:r>
      <w:r>
        <w:t>forward all relevant records to the new unit.</w:t>
      </w:r>
    </w:p>
    <w:p w14:paraId="4CF3F60D" w14:textId="56ED0CC3" w:rsidR="003D708E" w:rsidRDefault="00B55BA0" w:rsidP="00C97174">
      <w:pPr>
        <w:pStyle w:val="Heading3"/>
        <w:spacing w:before="120"/>
      </w:pPr>
      <w:r>
        <w:t>Receiving Unit Managers shall review e</w:t>
      </w:r>
      <w:r w:rsidR="0069300C" w:rsidRPr="003160E5">
        <w:t xml:space="preserve">ach case individually and </w:t>
      </w:r>
      <w:r>
        <w:t xml:space="preserve">determine </w:t>
      </w:r>
      <w:r w:rsidR="0069300C" w:rsidRPr="003160E5">
        <w:t>whether to continue a</w:t>
      </w:r>
      <w:r w:rsidR="006F52B0">
        <w:t>ny regime restrictions imposed.</w:t>
      </w:r>
    </w:p>
    <w:p w14:paraId="43C97B15" w14:textId="77777777" w:rsidR="005C6E8E" w:rsidRPr="005C6E8E" w:rsidRDefault="005C6E8E" w:rsidP="005C6E8E">
      <w:pPr>
        <w:spacing w:before="200" w:after="120"/>
      </w:pPr>
    </w:p>
    <w:p w14:paraId="3266C775" w14:textId="77777777" w:rsidR="00777A67" w:rsidRDefault="00777A67" w:rsidP="005C6E8E">
      <w:pPr>
        <w:pStyle w:val="Heading1"/>
        <w:spacing w:before="200"/>
      </w:pPr>
      <w:bookmarkStart w:id="17" w:name="_Toc54335876"/>
      <w:r>
        <w:t>Standing Order</w:t>
      </w:r>
      <w:bookmarkEnd w:id="17"/>
    </w:p>
    <w:p w14:paraId="2BFE925F" w14:textId="77777777" w:rsidR="00777A67" w:rsidRDefault="00777A67" w:rsidP="00777A67">
      <w:pPr>
        <w:pStyle w:val="Heading3"/>
      </w:pPr>
      <w:r w:rsidRPr="00F1342E">
        <w:t xml:space="preserve">Superintendents shall make and issue a Standing Order, </w:t>
      </w:r>
      <w:r>
        <w:t>to include:</w:t>
      </w:r>
    </w:p>
    <w:p w14:paraId="6E1C3A77" w14:textId="77777777" w:rsidR="00777A67" w:rsidRDefault="00777A67" w:rsidP="00777A67">
      <w:pPr>
        <w:pStyle w:val="Heading3"/>
        <w:numPr>
          <w:ilvl w:val="0"/>
          <w:numId w:val="30"/>
        </w:numPr>
        <w:spacing w:before="120"/>
        <w:ind w:left="1134" w:hanging="425"/>
      </w:pPr>
      <w:r w:rsidRPr="00F1342E">
        <w:t>incorporating strategies relevant to their prison to address bullying behaviou</w:t>
      </w:r>
      <w:r>
        <w:t>r</w:t>
      </w:r>
    </w:p>
    <w:p w14:paraId="0D3425DA" w14:textId="77777777" w:rsidR="00777A67" w:rsidRDefault="00777A67" w:rsidP="00777A67">
      <w:pPr>
        <w:pStyle w:val="Heading3"/>
        <w:numPr>
          <w:ilvl w:val="0"/>
          <w:numId w:val="30"/>
        </w:numPr>
        <w:spacing w:before="120"/>
        <w:ind w:left="1134" w:hanging="425"/>
      </w:pPr>
      <w:r>
        <w:t>establishing a structure of responsibilities for the development, implementation and evaluation of the approach being taken.</w:t>
      </w:r>
    </w:p>
    <w:p w14:paraId="0384A444" w14:textId="77777777" w:rsidR="00777A67" w:rsidRPr="00A37F23" w:rsidRDefault="00777A67" w:rsidP="00A37F23"/>
    <w:p w14:paraId="5F0F7A4B" w14:textId="249CD3B8" w:rsidR="006F52B0" w:rsidRDefault="006F52B0" w:rsidP="00A37F23">
      <w:r>
        <w:br w:type="page"/>
      </w:r>
    </w:p>
    <w:p w14:paraId="46332D7C" w14:textId="0AB82C56" w:rsidR="000755EE" w:rsidRDefault="003D708E" w:rsidP="008114B3">
      <w:pPr>
        <w:pStyle w:val="Heading1"/>
      </w:pPr>
      <w:bookmarkStart w:id="18" w:name="_Toc54335877"/>
      <w:r>
        <w:lastRenderedPageBreak/>
        <w:t>Annexures</w:t>
      </w:r>
      <w:bookmarkEnd w:id="18"/>
    </w:p>
    <w:p w14:paraId="03BDC853" w14:textId="245B4031" w:rsidR="003D708E" w:rsidRDefault="003D708E" w:rsidP="003D708E">
      <w:pPr>
        <w:pStyle w:val="Heading2"/>
      </w:pPr>
      <w:bookmarkStart w:id="19" w:name="_Related_COPPS_and"/>
      <w:bookmarkStart w:id="20" w:name="_Toc54335878"/>
      <w:bookmarkEnd w:id="19"/>
      <w:r>
        <w:t xml:space="preserve">Related </w:t>
      </w:r>
      <w:r w:rsidR="0011521F">
        <w:t xml:space="preserve">COPPs </w:t>
      </w:r>
      <w:r>
        <w:t>and documents</w:t>
      </w:r>
      <w:bookmarkEnd w:id="20"/>
    </w:p>
    <w:p w14:paraId="02066DA4" w14:textId="1EAD01AD" w:rsidR="00642D6C" w:rsidRPr="00904577" w:rsidRDefault="0011521F" w:rsidP="00642D6C">
      <w:pPr>
        <w:rPr>
          <w:u w:val="single"/>
        </w:rPr>
      </w:pPr>
      <w:r w:rsidRPr="00904577">
        <w:rPr>
          <w:u w:val="single"/>
        </w:rPr>
        <w:t xml:space="preserve">Related </w:t>
      </w:r>
      <w:r w:rsidR="00642D6C" w:rsidRPr="00904577">
        <w:rPr>
          <w:u w:val="single"/>
        </w:rPr>
        <w:t>COPPs</w:t>
      </w:r>
    </w:p>
    <w:p w14:paraId="22BACDA7" w14:textId="34B4925B" w:rsidR="003D708E" w:rsidRPr="0044176A" w:rsidRDefault="00B63E93" w:rsidP="00E21BC0">
      <w:pPr>
        <w:pStyle w:val="ListParagraph"/>
        <w:numPr>
          <w:ilvl w:val="0"/>
          <w:numId w:val="18"/>
        </w:numPr>
        <w:spacing w:before="120" w:after="120"/>
        <w:ind w:left="714" w:hanging="357"/>
        <w:contextualSpacing w:val="0"/>
        <w:rPr>
          <w:color w:val="0000FF"/>
          <w:u w:val="single"/>
        </w:rPr>
      </w:pPr>
      <w:hyperlink r:id="rId18" w:history="1">
        <w:r w:rsidR="001413F8" w:rsidRPr="00CD4D76">
          <w:rPr>
            <w:rStyle w:val="Hyperlink"/>
          </w:rPr>
          <w:t xml:space="preserve">COPP 10.1 Prisoner </w:t>
        </w:r>
        <w:r w:rsidR="005834E8" w:rsidRPr="00CD4D76">
          <w:rPr>
            <w:rStyle w:val="Hyperlink"/>
          </w:rPr>
          <w:t xml:space="preserve">Behaviour </w:t>
        </w:r>
        <w:r w:rsidR="001413F8" w:rsidRPr="00CD4D76">
          <w:rPr>
            <w:rStyle w:val="Hyperlink"/>
          </w:rPr>
          <w:t>Management</w:t>
        </w:r>
      </w:hyperlink>
      <w:r w:rsidR="001413F8" w:rsidRPr="0044176A">
        <w:rPr>
          <w:color w:val="0000FF"/>
          <w:u w:val="single"/>
        </w:rPr>
        <w:t xml:space="preserve"> </w:t>
      </w:r>
    </w:p>
    <w:p w14:paraId="73704DAA" w14:textId="39B107D8" w:rsidR="001413F8" w:rsidRPr="0044176A" w:rsidRDefault="00B63E93" w:rsidP="00E21BC0">
      <w:pPr>
        <w:pStyle w:val="ListParagraph"/>
        <w:numPr>
          <w:ilvl w:val="0"/>
          <w:numId w:val="18"/>
        </w:numPr>
        <w:spacing w:before="120" w:after="120"/>
        <w:ind w:left="714" w:hanging="357"/>
        <w:contextualSpacing w:val="0"/>
        <w:rPr>
          <w:u w:val="single"/>
        </w:rPr>
      </w:pPr>
      <w:hyperlink r:id="rId19" w:history="1">
        <w:r w:rsidR="001413F8" w:rsidRPr="00CD4D76">
          <w:rPr>
            <w:rStyle w:val="Hyperlink"/>
          </w:rPr>
          <w:t>COPP 10</w:t>
        </w:r>
        <w:r w:rsidR="00507CEA" w:rsidRPr="00CD4D76">
          <w:rPr>
            <w:rStyle w:val="Hyperlink"/>
          </w:rPr>
          <w:t>.</w:t>
        </w:r>
        <w:r w:rsidR="005834E8" w:rsidRPr="00CD4D76">
          <w:rPr>
            <w:rStyle w:val="Hyperlink"/>
          </w:rPr>
          <w:t xml:space="preserve">5 </w:t>
        </w:r>
        <w:r w:rsidR="001413F8" w:rsidRPr="00CD4D76">
          <w:rPr>
            <w:rStyle w:val="Hyperlink"/>
          </w:rPr>
          <w:t>Prison</w:t>
        </w:r>
        <w:r w:rsidR="003D1C51" w:rsidRPr="00CD4D76">
          <w:rPr>
            <w:rStyle w:val="Hyperlink"/>
          </w:rPr>
          <w:t xml:space="preserve"> Offences and </w:t>
        </w:r>
        <w:r w:rsidR="001413F8" w:rsidRPr="00CD4D76">
          <w:rPr>
            <w:rStyle w:val="Hyperlink"/>
          </w:rPr>
          <w:t>Charges</w:t>
        </w:r>
      </w:hyperlink>
    </w:p>
    <w:p w14:paraId="5A894667" w14:textId="66DB4C3C" w:rsidR="0044176A" w:rsidRPr="00E21BC0" w:rsidRDefault="00B63E93" w:rsidP="00642D6C">
      <w:pPr>
        <w:pStyle w:val="ListParagraph"/>
        <w:numPr>
          <w:ilvl w:val="0"/>
          <w:numId w:val="18"/>
        </w:numPr>
        <w:spacing w:before="120" w:after="120"/>
        <w:ind w:left="714" w:hanging="357"/>
        <w:contextualSpacing w:val="0"/>
        <w:rPr>
          <w:u w:val="single"/>
        </w:rPr>
      </w:pPr>
      <w:hyperlink r:id="rId20" w:history="1">
        <w:r w:rsidR="00936F5E" w:rsidRPr="00CD4D76">
          <w:rPr>
            <w:rStyle w:val="Hyperlink"/>
          </w:rPr>
          <w:t xml:space="preserve">COPP 13.1 Incident </w:t>
        </w:r>
        <w:r w:rsidR="00861E5A" w:rsidRPr="00CD4D76">
          <w:rPr>
            <w:rStyle w:val="Hyperlink"/>
          </w:rPr>
          <w:t>Notifications, Reporting and Communications</w:t>
        </w:r>
      </w:hyperlink>
    </w:p>
    <w:p w14:paraId="6E780A9D" w14:textId="5786B106" w:rsidR="00642D6C" w:rsidRPr="00904577" w:rsidRDefault="0011521F" w:rsidP="00E21BC0">
      <w:pPr>
        <w:spacing w:before="120" w:after="120"/>
        <w:rPr>
          <w:u w:val="single"/>
        </w:rPr>
      </w:pPr>
      <w:r>
        <w:rPr>
          <w:u w:val="single"/>
        </w:rPr>
        <w:t>Other d</w:t>
      </w:r>
      <w:r w:rsidRPr="00904577">
        <w:rPr>
          <w:u w:val="single"/>
        </w:rPr>
        <w:t>ocuments</w:t>
      </w:r>
    </w:p>
    <w:p w14:paraId="2BC54C5C" w14:textId="7FBF47B8" w:rsidR="00642D6C" w:rsidRDefault="00B63E93" w:rsidP="00E21BC0">
      <w:pPr>
        <w:pStyle w:val="ListParagraph"/>
        <w:numPr>
          <w:ilvl w:val="0"/>
          <w:numId w:val="18"/>
        </w:numPr>
        <w:spacing w:before="120" w:after="120"/>
        <w:contextualSpacing w:val="0"/>
        <w:rPr>
          <w:color w:val="0000FF"/>
          <w:u w:val="single"/>
        </w:rPr>
      </w:pPr>
      <w:hyperlink r:id="rId21" w:history="1">
        <w:r w:rsidR="00642D6C" w:rsidRPr="00CD4D76">
          <w:rPr>
            <w:rStyle w:val="Hyperlink"/>
          </w:rPr>
          <w:t>At Risk Management System (ARMS) Manual</w:t>
        </w:r>
      </w:hyperlink>
    </w:p>
    <w:p w14:paraId="64627805" w14:textId="77777777" w:rsidR="00613026" w:rsidRPr="00E21BC0" w:rsidRDefault="00613026" w:rsidP="00613026">
      <w:pPr>
        <w:pStyle w:val="ListParagraph"/>
        <w:spacing w:before="120" w:after="120"/>
        <w:contextualSpacing w:val="0"/>
        <w:rPr>
          <w:color w:val="0000FF"/>
          <w:u w:val="single"/>
        </w:rPr>
      </w:pPr>
    </w:p>
    <w:p w14:paraId="2DA87339" w14:textId="5C62BD4C" w:rsidR="003D708E" w:rsidRPr="003D708E" w:rsidRDefault="003D708E" w:rsidP="00E21BC0">
      <w:pPr>
        <w:pStyle w:val="Heading2"/>
        <w:spacing w:before="120"/>
      </w:pPr>
      <w:bookmarkStart w:id="21" w:name="_Toc54335879"/>
      <w:r>
        <w:t>Definitions and acronyms</w:t>
      </w:r>
      <w:bookmarkEnd w:id="21"/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5"/>
        <w:gridCol w:w="7053"/>
      </w:tblGrid>
      <w:tr w:rsidR="003D708E" w:rsidRPr="000E6F0A" w14:paraId="6758FF23" w14:textId="77777777" w:rsidTr="00141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5" w:type="dxa"/>
          </w:tcPr>
          <w:p w14:paraId="32590B1A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7053" w:type="dxa"/>
          </w:tcPr>
          <w:p w14:paraId="1D0BC388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  <w:tr w:rsidR="00803E87" w:rsidRPr="000E6F0A" w14:paraId="7CCFDA9B" w14:textId="77777777" w:rsidTr="00803E87">
        <w:trPr>
          <w:trHeight w:val="1699"/>
        </w:trPr>
        <w:tc>
          <w:tcPr>
            <w:tcW w:w="2115" w:type="dxa"/>
          </w:tcPr>
          <w:p w14:paraId="7BDECC1E" w14:textId="54A26367" w:rsidR="00803E87" w:rsidRPr="00803E87" w:rsidRDefault="0044176A" w:rsidP="00803E87">
            <w:pPr>
              <w:pStyle w:val="Tableheading"/>
              <w:rPr>
                <w:b w:val="0"/>
              </w:rPr>
            </w:pPr>
            <w:r w:rsidRPr="00803E87">
              <w:rPr>
                <w:b w:val="0"/>
              </w:rPr>
              <w:t xml:space="preserve">At-Risk Management System </w:t>
            </w:r>
            <w:r>
              <w:rPr>
                <w:b w:val="0"/>
              </w:rPr>
              <w:t>(</w:t>
            </w:r>
            <w:r w:rsidR="00803E87" w:rsidRPr="00803E87">
              <w:rPr>
                <w:b w:val="0"/>
              </w:rPr>
              <w:t>ARMS</w:t>
            </w:r>
            <w:r>
              <w:rPr>
                <w:b w:val="0"/>
              </w:rPr>
              <w:t>)</w:t>
            </w:r>
          </w:p>
        </w:tc>
        <w:tc>
          <w:tcPr>
            <w:tcW w:w="7053" w:type="dxa"/>
          </w:tcPr>
          <w:p w14:paraId="7B0D6A68" w14:textId="77777777" w:rsidR="00803E87" w:rsidRDefault="00803E87" w:rsidP="00803E87">
            <w:pPr>
              <w:pStyle w:val="Tableheading"/>
              <w:rPr>
                <w:b w:val="0"/>
              </w:rPr>
            </w:pPr>
            <w:r w:rsidRPr="00803E87">
              <w:rPr>
                <w:b w:val="0"/>
              </w:rPr>
              <w:t>The At-Risk Management System is the Department's multi-disciplinary suicide prevention strategy for offenders. The tri-level system includes:</w:t>
            </w:r>
          </w:p>
          <w:p w14:paraId="573C3354" w14:textId="77777777" w:rsidR="00803E87" w:rsidRPr="00664180" w:rsidRDefault="00803E87" w:rsidP="00803E87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rFonts w:eastAsia="Times New Roman" w:cs="Arial"/>
              </w:rPr>
            </w:pPr>
            <w:r w:rsidRPr="00664180">
              <w:rPr>
                <w:rFonts w:eastAsia="Times New Roman" w:cs="Arial"/>
              </w:rPr>
              <w:t>Primary prevention - strategies to create physical and social environments in the detention centre that limits stress on detainees.</w:t>
            </w:r>
          </w:p>
          <w:p w14:paraId="3B89F9E7" w14:textId="77777777" w:rsidR="00803E87" w:rsidRPr="00664180" w:rsidRDefault="00803E87" w:rsidP="00803E87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rFonts w:eastAsia="Times New Roman" w:cs="Arial"/>
              </w:rPr>
            </w:pPr>
            <w:r w:rsidRPr="00664180">
              <w:rPr>
                <w:rFonts w:eastAsia="Times New Roman" w:cs="Arial"/>
              </w:rPr>
              <w:t>Secondary prevention - strategies to support detainees at statistically higher risk of self-harm or suicide.</w:t>
            </w:r>
          </w:p>
          <w:p w14:paraId="2D49A1C5" w14:textId="3744EB56" w:rsidR="00803E87" w:rsidRPr="00803E87" w:rsidRDefault="00803E87" w:rsidP="00803E87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b/>
              </w:rPr>
            </w:pPr>
            <w:r w:rsidRPr="00803E87">
              <w:rPr>
                <w:rFonts w:eastAsia="Times New Roman" w:cs="Arial"/>
              </w:rPr>
              <w:t>Tertiary prevention - strategies aimed directly at individuals identified as at risk of self-harm or suicide</w:t>
            </w:r>
          </w:p>
        </w:tc>
      </w:tr>
      <w:tr w:rsidR="001413F8" w:rsidRPr="000E6F0A" w14:paraId="37689903" w14:textId="77777777" w:rsidTr="001413F8">
        <w:tc>
          <w:tcPr>
            <w:tcW w:w="2115" w:type="dxa"/>
          </w:tcPr>
          <w:p w14:paraId="0B8D060B" w14:textId="77777777" w:rsidR="001413F8" w:rsidRDefault="001413F8" w:rsidP="00DF778C">
            <w:pPr>
              <w:pStyle w:val="Tabledata"/>
            </w:pPr>
            <w:r>
              <w:t>Bullying</w:t>
            </w:r>
          </w:p>
        </w:tc>
        <w:tc>
          <w:tcPr>
            <w:tcW w:w="7053" w:type="dxa"/>
          </w:tcPr>
          <w:p w14:paraId="3C2D7830" w14:textId="77777777" w:rsidR="001413F8" w:rsidRDefault="001413F8" w:rsidP="00DF778C">
            <w:pPr>
              <w:pStyle w:val="Tabledata"/>
            </w:pPr>
            <w:r>
              <w:t>Behaviour by an individual or group, repeated over time, which hurts another individual or group either physically or emotionally</w:t>
            </w:r>
          </w:p>
        </w:tc>
      </w:tr>
      <w:tr w:rsidR="003D708E" w:rsidRPr="000E6F0A" w14:paraId="4E75F835" w14:textId="77777777" w:rsidTr="001413F8">
        <w:tc>
          <w:tcPr>
            <w:tcW w:w="2115" w:type="dxa"/>
          </w:tcPr>
          <w:p w14:paraId="42C2DE2F" w14:textId="1528E4D2" w:rsidR="003D708E" w:rsidRPr="005435AD" w:rsidRDefault="00803E87" w:rsidP="00DF778C">
            <w:pPr>
              <w:pStyle w:val="Tabledata"/>
              <w:rPr>
                <w:b/>
              </w:rPr>
            </w:pPr>
            <w:r>
              <w:t>Commissioner’s Operating Policy and Procedures (</w:t>
            </w:r>
            <w:r w:rsidR="003D708E">
              <w:t>COPP</w:t>
            </w:r>
            <w:r>
              <w:t>)</w:t>
            </w:r>
          </w:p>
        </w:tc>
        <w:tc>
          <w:tcPr>
            <w:tcW w:w="7053" w:type="dxa"/>
          </w:tcPr>
          <w:p w14:paraId="48D27F99" w14:textId="58EACD58" w:rsidR="003D708E" w:rsidRPr="00344FBE" w:rsidRDefault="00803E87" w:rsidP="003D1C51">
            <w:pPr>
              <w:pStyle w:val="Tabledata"/>
            </w:pPr>
            <w:r w:rsidRPr="00803E87">
              <w:t>COPPs</w:t>
            </w:r>
            <w:r w:rsidR="00904577">
              <w:t xml:space="preserve"> </w:t>
            </w:r>
            <w:r w:rsidRPr="00803E87">
              <w:t>are policy documents that provide instructions to staff as to how the relevant legislative requirements are implemented.</w:t>
            </w:r>
          </w:p>
        </w:tc>
      </w:tr>
      <w:tr w:rsidR="00C524E5" w:rsidRPr="000E6F0A" w14:paraId="79E75635" w14:textId="77777777" w:rsidTr="00904577">
        <w:tc>
          <w:tcPr>
            <w:tcW w:w="2115" w:type="dxa"/>
            <w:shd w:val="clear" w:color="auto" w:fill="FFFFFF" w:themeFill="background1"/>
          </w:tcPr>
          <w:p w14:paraId="377F85BB" w14:textId="05C315C8" w:rsidR="00C524E5" w:rsidRDefault="00C524E5" w:rsidP="00C524E5">
            <w:pPr>
              <w:pStyle w:val="Tabledata"/>
            </w:pPr>
            <w:r w:rsidRPr="00E379B8">
              <w:rPr>
                <w:rFonts w:cs="Arial"/>
              </w:rPr>
              <w:t xml:space="preserve">Guiding Principles for Corrections in Australia, 2018 </w:t>
            </w:r>
          </w:p>
        </w:tc>
        <w:tc>
          <w:tcPr>
            <w:tcW w:w="7053" w:type="dxa"/>
            <w:shd w:val="clear" w:color="auto" w:fill="FFFFFF" w:themeFill="background1"/>
          </w:tcPr>
          <w:p w14:paraId="323A193F" w14:textId="282751EE" w:rsidR="00C524E5" w:rsidDel="003D1C51" w:rsidRDefault="00C524E5" w:rsidP="00C524E5">
            <w:pPr>
              <w:pStyle w:val="Tabledata"/>
            </w:pPr>
            <w:r w:rsidRPr="00E379B8">
              <w:rPr>
                <w:rFonts w:cs="Arial"/>
              </w:rPr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C524E5" w14:paraId="74D4C936" w14:textId="77777777" w:rsidTr="001413F8">
        <w:tc>
          <w:tcPr>
            <w:tcW w:w="2115" w:type="dxa"/>
          </w:tcPr>
          <w:p w14:paraId="0704F0C5" w14:textId="77777777" w:rsidR="00C524E5" w:rsidRPr="00C72DA6" w:rsidRDefault="00C524E5" w:rsidP="00C524E5">
            <w:pPr>
              <w:rPr>
                <w:rFonts w:eastAsia="Times New Roman"/>
                <w:lang w:eastAsia="en-AU"/>
              </w:rPr>
            </w:pPr>
            <w:r w:rsidRPr="00C72DA6">
              <w:rPr>
                <w:rFonts w:eastAsia="Times New Roman"/>
                <w:szCs w:val="22"/>
                <w:lang w:eastAsia="en-AU"/>
              </w:rPr>
              <w:t>Prisoner</w:t>
            </w:r>
          </w:p>
        </w:tc>
        <w:tc>
          <w:tcPr>
            <w:tcW w:w="7053" w:type="dxa"/>
          </w:tcPr>
          <w:p w14:paraId="639561C6" w14:textId="0B04B540" w:rsidR="00C524E5" w:rsidRPr="00C72DA6" w:rsidRDefault="00C524E5" w:rsidP="00C524E5">
            <w:pPr>
              <w:rPr>
                <w:rFonts w:eastAsia="MS Gothic"/>
                <w:bCs/>
                <w:lang w:eastAsia="en-AU"/>
              </w:rPr>
            </w:pPr>
            <w:r w:rsidRPr="00C72DA6">
              <w:rPr>
                <w:rFonts w:eastAsia="Times New Roman"/>
                <w:szCs w:val="22"/>
                <w:lang w:eastAsia="en-AU"/>
              </w:rPr>
              <w:t>Any person in lawful custody and referred to as a prisoner in s</w:t>
            </w:r>
            <w:r>
              <w:rPr>
                <w:rFonts w:eastAsia="Times New Roman"/>
                <w:szCs w:val="22"/>
                <w:lang w:eastAsia="en-AU"/>
              </w:rPr>
              <w:t xml:space="preserve">. </w:t>
            </w:r>
            <w:r w:rsidRPr="00C72DA6">
              <w:rPr>
                <w:rFonts w:eastAsia="Times New Roman"/>
                <w:szCs w:val="22"/>
                <w:lang w:eastAsia="en-AU"/>
              </w:rPr>
              <w:t xml:space="preserve">3 </w:t>
            </w:r>
            <w:r>
              <w:rPr>
                <w:rFonts w:eastAsia="Times New Roman"/>
                <w:szCs w:val="22"/>
                <w:lang w:eastAsia="en-AU"/>
              </w:rPr>
              <w:t xml:space="preserve">of the </w:t>
            </w:r>
            <w:hyperlink r:id="rId22" w:history="1">
              <w:r w:rsidRPr="001E1540">
                <w:rPr>
                  <w:rFonts w:eastAsia="Calibri" w:cs="Arial"/>
                  <w:i/>
                  <w:lang w:eastAsia="en-AU"/>
                </w:rPr>
                <w:t>Prisons Act 1981</w:t>
              </w:r>
            </w:hyperlink>
            <w:r w:rsidRPr="001E1540">
              <w:rPr>
                <w:rFonts w:eastAsia="Times New Roman"/>
                <w:szCs w:val="22"/>
                <w:lang w:eastAsia="en-AU"/>
              </w:rPr>
              <w:t xml:space="preserve">; also includes </w:t>
            </w:r>
            <w:r w:rsidRPr="00C72DA6">
              <w:rPr>
                <w:rFonts w:eastAsia="Times New Roman"/>
                <w:szCs w:val="22"/>
                <w:lang w:eastAsia="en-AU"/>
              </w:rPr>
              <w:t xml:space="preserve">a person not yet in the custody of a prison, but in the custody of a Contractor under the </w:t>
            </w:r>
            <w:r w:rsidRPr="0025010B">
              <w:rPr>
                <w:rFonts w:eastAsia="Times New Roman" w:cs="Arial"/>
                <w:i/>
                <w:lang w:eastAsia="en-AU"/>
              </w:rPr>
              <w:t>Court Security and Custodial Services Act</w:t>
            </w:r>
            <w:r>
              <w:rPr>
                <w:rFonts w:eastAsia="Times New Roman" w:cs="Arial"/>
                <w:i/>
                <w:lang w:eastAsia="en-AU"/>
              </w:rPr>
              <w:t xml:space="preserve"> 1999</w:t>
            </w:r>
            <w:r>
              <w:rPr>
                <w:rFonts w:eastAsia="Times New Roman" w:cs="Arial"/>
                <w:lang w:eastAsia="en-AU"/>
              </w:rPr>
              <w:t>.</w:t>
            </w:r>
          </w:p>
        </w:tc>
      </w:tr>
      <w:tr w:rsidR="00C524E5" w14:paraId="162FF811" w14:textId="77777777" w:rsidTr="001413F8">
        <w:tc>
          <w:tcPr>
            <w:tcW w:w="2115" w:type="dxa"/>
          </w:tcPr>
          <w:p w14:paraId="19D62017" w14:textId="3662D57E" w:rsidR="00C524E5" w:rsidRPr="00C72DA6" w:rsidRDefault="00C524E5" w:rsidP="00C524E5">
            <w:pPr>
              <w:rPr>
                <w:rFonts w:eastAsia="Times New Roman"/>
                <w:szCs w:val="22"/>
                <w:lang w:eastAsia="en-AU"/>
              </w:rPr>
            </w:pPr>
            <w:r w:rsidRPr="004072C2">
              <w:t>Superintendent</w:t>
            </w:r>
          </w:p>
        </w:tc>
        <w:tc>
          <w:tcPr>
            <w:tcW w:w="7053" w:type="dxa"/>
          </w:tcPr>
          <w:p w14:paraId="4699D292" w14:textId="5630EA62" w:rsidR="00C524E5" w:rsidRPr="00C72DA6" w:rsidRDefault="00C524E5" w:rsidP="00C524E5">
            <w:pPr>
              <w:rPr>
                <w:rFonts w:eastAsia="Times New Roman"/>
                <w:szCs w:val="22"/>
                <w:lang w:eastAsia="en-AU"/>
              </w:rPr>
            </w:pPr>
            <w:r w:rsidRPr="0099043D">
              <w:t>The Superintendent as defined in s</w:t>
            </w:r>
            <w:r>
              <w:t>.</w:t>
            </w:r>
            <w:r w:rsidRPr="0099043D">
              <w:t xml:space="preserve"> 36 of the </w:t>
            </w:r>
            <w:hyperlink r:id="rId23" w:history="1">
              <w:r w:rsidRPr="0099043D">
                <w:rPr>
                  <w:i/>
                </w:rPr>
                <w:t>Prisons Act 1981</w:t>
              </w:r>
            </w:hyperlink>
            <w:r w:rsidRPr="0099043D">
              <w:t xml:space="preserve">  includes any reference to the position responsible for the management of a private prison under Part IIIA of the </w:t>
            </w:r>
            <w:hyperlink r:id="rId24" w:history="1">
              <w:r w:rsidRPr="0099043D">
                <w:rPr>
                  <w:i/>
                </w:rPr>
                <w:t>Prisons Act 1981</w:t>
              </w:r>
            </w:hyperlink>
            <w:r w:rsidRPr="0099043D">
              <w:t>. Does not extend to the Officer in Charge of a prison.</w:t>
            </w:r>
          </w:p>
        </w:tc>
      </w:tr>
      <w:tr w:rsidR="00C524E5" w14:paraId="3680E2E3" w14:textId="77777777" w:rsidTr="001413F8">
        <w:tc>
          <w:tcPr>
            <w:tcW w:w="2115" w:type="dxa"/>
          </w:tcPr>
          <w:p w14:paraId="2238061E" w14:textId="77777777" w:rsidR="00C524E5" w:rsidRPr="001413F8" w:rsidRDefault="00C524E5" w:rsidP="00C524E5">
            <w:pPr>
              <w:pStyle w:val="Tabledata"/>
            </w:pPr>
            <w:r w:rsidRPr="001413F8">
              <w:lastRenderedPageBreak/>
              <w:t>Unit Manager</w:t>
            </w:r>
          </w:p>
        </w:tc>
        <w:tc>
          <w:tcPr>
            <w:tcW w:w="7053" w:type="dxa"/>
          </w:tcPr>
          <w:p w14:paraId="5A4F7D25" w14:textId="6C1235EE" w:rsidR="00C524E5" w:rsidRPr="00344FBE" w:rsidRDefault="00C524E5" w:rsidP="00C524E5">
            <w:pPr>
              <w:pStyle w:val="Tabledata"/>
            </w:pPr>
            <w:r w:rsidRPr="00137BE8">
              <w:rPr>
                <w:rFonts w:cs="Arial"/>
              </w:rPr>
              <w:t>The Senior Officer managing the unit in which the prisoner is located.</w:t>
            </w:r>
          </w:p>
        </w:tc>
      </w:tr>
    </w:tbl>
    <w:p w14:paraId="098CEE44" w14:textId="1C83E604" w:rsidR="003D708E" w:rsidRPr="003D708E" w:rsidRDefault="003D708E" w:rsidP="00E21BC0">
      <w:pPr>
        <w:pStyle w:val="Heading2"/>
        <w:spacing w:before="120"/>
      </w:pPr>
      <w:bookmarkStart w:id="22" w:name="_Toc54335880"/>
      <w:r>
        <w:t>Related legislation</w:t>
      </w:r>
      <w:bookmarkEnd w:id="22"/>
      <w:r>
        <w:t xml:space="preserve"> </w:t>
      </w:r>
    </w:p>
    <w:p w14:paraId="7E9D6B55" w14:textId="62CC735C" w:rsidR="002E5756" w:rsidRPr="001E1540" w:rsidRDefault="001E1540" w:rsidP="00904577">
      <w:pPr>
        <w:pStyle w:val="Instructionalnote"/>
        <w:numPr>
          <w:ilvl w:val="0"/>
          <w:numId w:val="20"/>
        </w:numPr>
        <w:spacing w:before="120" w:after="120"/>
        <w:ind w:left="851" w:hanging="284"/>
        <w:rPr>
          <w:i/>
          <w:color w:val="auto"/>
        </w:rPr>
      </w:pPr>
      <w:r w:rsidRPr="001E1540">
        <w:rPr>
          <w:i/>
          <w:color w:val="auto"/>
        </w:rPr>
        <w:t>Prisons Act 1981</w:t>
      </w:r>
    </w:p>
    <w:p w14:paraId="782BAAC4" w14:textId="77777777" w:rsidR="002E5756" w:rsidRPr="009D516D" w:rsidRDefault="002E5756" w:rsidP="00E21BC0">
      <w:pPr>
        <w:pStyle w:val="Heading1"/>
        <w:spacing w:before="120"/>
      </w:pPr>
      <w:bookmarkStart w:id="23" w:name="_Toc178286"/>
      <w:bookmarkStart w:id="24" w:name="_Toc54335881"/>
      <w:r w:rsidRPr="009D516D">
        <w:t>Assurance</w:t>
      </w:r>
      <w:bookmarkEnd w:id="23"/>
      <w:bookmarkEnd w:id="24"/>
    </w:p>
    <w:p w14:paraId="3E430A07" w14:textId="0E70A86B" w:rsidR="002E5756" w:rsidRPr="009D516D" w:rsidRDefault="002E5756" w:rsidP="00E21BC0">
      <w:pPr>
        <w:spacing w:before="120" w:after="120"/>
      </w:pPr>
      <w:r>
        <w:t>It is expected that</w:t>
      </w:r>
      <w:r w:rsidRPr="009D516D">
        <w:t>:</w:t>
      </w:r>
    </w:p>
    <w:p w14:paraId="2CE48CE1" w14:textId="5AFFC485" w:rsidR="002E5756" w:rsidRPr="000F16F8" w:rsidRDefault="002E5756" w:rsidP="00E21BC0">
      <w:pPr>
        <w:pStyle w:val="ListBullet"/>
        <w:spacing w:before="120"/>
      </w:pPr>
      <w:r>
        <w:t xml:space="preserve">Prisons will undertake local </w:t>
      </w:r>
      <w:r w:rsidRPr="000F16F8">
        <w:t xml:space="preserve">compliance in accordance with the </w:t>
      </w:r>
      <w:hyperlink r:id="rId25" w:history="1">
        <w:r w:rsidRPr="00904577">
          <w:rPr>
            <w:rStyle w:val="Hyperlink"/>
          </w:rPr>
          <w:t>Compliance Manual</w:t>
        </w:r>
      </w:hyperlink>
      <w:r w:rsidRPr="000F16F8">
        <w:t>.</w:t>
      </w:r>
    </w:p>
    <w:p w14:paraId="56FD6183" w14:textId="27AE3B30" w:rsidR="002E5756" w:rsidRDefault="0066531A" w:rsidP="00E21BC0">
      <w:pPr>
        <w:pStyle w:val="ListBullet"/>
        <w:spacing w:before="120"/>
      </w:pPr>
      <w:r>
        <w:t>The relevant Deputy Commissioner</w:t>
      </w:r>
      <w:r w:rsidR="002E5756">
        <w:t xml:space="preserve"> will undertake management oversight as required.</w:t>
      </w:r>
      <w:r w:rsidR="002E5756" w:rsidRPr="000F16F8">
        <w:t xml:space="preserve"> </w:t>
      </w:r>
    </w:p>
    <w:p w14:paraId="5192CD42" w14:textId="083D91CF" w:rsidR="002E5756" w:rsidRPr="001413F8" w:rsidRDefault="002E5756" w:rsidP="00E21BC0">
      <w:pPr>
        <w:pStyle w:val="ListBullet"/>
        <w:spacing w:before="120"/>
        <w:rPr>
          <w:color w:val="0000FF"/>
          <w:u w:val="single"/>
        </w:rPr>
      </w:pPr>
      <w:r w:rsidRPr="000F16F8">
        <w:t xml:space="preserve">Monitoring and Compliance </w:t>
      </w:r>
      <w:r>
        <w:t xml:space="preserve">Branch will undertake checks </w:t>
      </w:r>
      <w:r w:rsidRPr="000F16F8">
        <w:t xml:space="preserve">in accordance with the </w:t>
      </w:r>
      <w:hyperlink r:id="rId26" w:history="1">
        <w:r w:rsidR="001413F8" w:rsidRPr="00904577">
          <w:rPr>
            <w:rStyle w:val="Hyperlink"/>
          </w:rPr>
          <w:t xml:space="preserve"> </w:t>
        </w:r>
        <w:r w:rsidR="001B317C">
          <w:rPr>
            <w:rStyle w:val="Hyperlink"/>
          </w:rPr>
          <w:t xml:space="preserve">Operational </w:t>
        </w:r>
        <w:r w:rsidRPr="00904577">
          <w:rPr>
            <w:rStyle w:val="Hyperlink"/>
          </w:rPr>
          <w:t>Compliance Framework</w:t>
        </w:r>
      </w:hyperlink>
      <w:r w:rsidR="001413F8">
        <w:rPr>
          <w:color w:val="0000FF"/>
        </w:rPr>
        <w:t>.</w:t>
      </w:r>
    </w:p>
    <w:p w14:paraId="07D941AF" w14:textId="77777777" w:rsidR="00245869" w:rsidRDefault="002E5756" w:rsidP="00E21BC0">
      <w:pPr>
        <w:pStyle w:val="ListBullet"/>
        <w:spacing w:before="120"/>
      </w:pPr>
      <w:r w:rsidRPr="000F16F8">
        <w:t xml:space="preserve">Independent </w:t>
      </w:r>
      <w:r>
        <w:t>o</w:t>
      </w:r>
      <w:r w:rsidRPr="000F16F8">
        <w:t xml:space="preserve">versight </w:t>
      </w:r>
      <w:r>
        <w:t xml:space="preserve">will be undertaken as required. </w:t>
      </w:r>
    </w:p>
    <w:p w14:paraId="34B98ED9" w14:textId="77777777" w:rsidR="00245869" w:rsidRPr="00EA7EAC" w:rsidRDefault="00245869" w:rsidP="00EA7EAC">
      <w:r>
        <w:br w:type="page"/>
      </w:r>
    </w:p>
    <w:p w14:paraId="4DA9DE1E" w14:textId="77777777" w:rsidR="00245869" w:rsidRDefault="00245869" w:rsidP="00DF778C">
      <w:pPr>
        <w:pStyle w:val="Heading"/>
      </w:pPr>
      <w:r>
        <w:lastRenderedPageBreak/>
        <w:t>Document version history</w:t>
      </w:r>
    </w:p>
    <w:p w14:paraId="08BB0316" w14:textId="634C027A" w:rsidR="00245869" w:rsidRPr="00A37F23" w:rsidRDefault="00245869" w:rsidP="00A37F23"/>
    <w:tbl>
      <w:tblPr>
        <w:tblStyle w:val="DCStable"/>
        <w:tblW w:w="9232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2178"/>
        <w:gridCol w:w="2757"/>
        <w:gridCol w:w="1628"/>
        <w:gridCol w:w="1618"/>
      </w:tblGrid>
      <w:tr w:rsidR="007B49E7" w:rsidRPr="007D3C6F" w14:paraId="4E337E4B" w14:textId="76428625" w:rsidTr="007B4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tcW w:w="1051" w:type="dxa"/>
          </w:tcPr>
          <w:p w14:paraId="097222D6" w14:textId="77777777" w:rsidR="007B49E7" w:rsidRPr="007D3C6F" w:rsidRDefault="007B49E7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178" w:type="dxa"/>
          </w:tcPr>
          <w:p w14:paraId="7AAF15EC" w14:textId="77777777" w:rsidR="007B49E7" w:rsidRPr="007D3C6F" w:rsidRDefault="007B49E7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757" w:type="dxa"/>
          </w:tcPr>
          <w:p w14:paraId="29E9090E" w14:textId="77777777" w:rsidR="007B49E7" w:rsidRPr="007D3C6F" w:rsidRDefault="007B49E7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628" w:type="dxa"/>
          </w:tcPr>
          <w:p w14:paraId="6C0D1D8C" w14:textId="77777777" w:rsidR="007B49E7" w:rsidRPr="007D3C6F" w:rsidRDefault="007B49E7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618" w:type="dxa"/>
          </w:tcPr>
          <w:p w14:paraId="712133B9" w14:textId="765BC6E0" w:rsidR="007B49E7" w:rsidRPr="007D3C6F" w:rsidRDefault="007B49E7" w:rsidP="00DF778C">
            <w:pPr>
              <w:pStyle w:val="Tableheading"/>
            </w:pPr>
            <w:r>
              <w:t>Effective date</w:t>
            </w:r>
          </w:p>
        </w:tc>
      </w:tr>
      <w:tr w:rsidR="007B49E7" w:rsidRPr="007D3C6F" w14:paraId="47F7F00A" w14:textId="0B2B0B9D" w:rsidTr="007B49E7">
        <w:trPr>
          <w:trHeight w:val="837"/>
        </w:trPr>
        <w:tc>
          <w:tcPr>
            <w:tcW w:w="1051" w:type="dxa"/>
          </w:tcPr>
          <w:p w14:paraId="458F1AE9" w14:textId="3F49EF0C" w:rsidR="007B49E7" w:rsidRDefault="007B49E7" w:rsidP="00073FC3">
            <w:pPr>
              <w:pStyle w:val="Tabledata"/>
            </w:pPr>
            <w:r>
              <w:t>1.0</w:t>
            </w:r>
          </w:p>
        </w:tc>
        <w:tc>
          <w:tcPr>
            <w:tcW w:w="2178" w:type="dxa"/>
          </w:tcPr>
          <w:p w14:paraId="1E082C25" w14:textId="302164B7" w:rsidR="007B49E7" w:rsidRDefault="007B49E7" w:rsidP="001C5C01">
            <w:pPr>
              <w:pStyle w:val="Tabledata"/>
            </w:pPr>
            <w:r>
              <w:t xml:space="preserve">Operational Policy </w:t>
            </w:r>
          </w:p>
        </w:tc>
        <w:tc>
          <w:tcPr>
            <w:tcW w:w="2757" w:type="dxa"/>
          </w:tcPr>
          <w:p w14:paraId="3A925691" w14:textId="04A77F3B" w:rsidR="007B49E7" w:rsidRDefault="007B49E7" w:rsidP="00007FE1">
            <w:pPr>
              <w:pStyle w:val="Tabledata"/>
            </w:pPr>
            <w:r>
              <w:t xml:space="preserve">Approved by the Director, Operational </w:t>
            </w:r>
            <w:r w:rsidR="00371787">
              <w:t xml:space="preserve">Projects, </w:t>
            </w:r>
            <w:r>
              <w:t>Policy, Compliance and Contracts</w:t>
            </w:r>
          </w:p>
        </w:tc>
        <w:tc>
          <w:tcPr>
            <w:tcW w:w="1628" w:type="dxa"/>
          </w:tcPr>
          <w:p w14:paraId="1B0FCB53" w14:textId="6FB4B7A4" w:rsidR="007B49E7" w:rsidRDefault="007B49E7" w:rsidP="00007FE1">
            <w:pPr>
              <w:pStyle w:val="Tabledata"/>
            </w:pPr>
            <w:r>
              <w:t>4 February 2021</w:t>
            </w:r>
          </w:p>
        </w:tc>
        <w:tc>
          <w:tcPr>
            <w:tcW w:w="1618" w:type="dxa"/>
          </w:tcPr>
          <w:p w14:paraId="0D693B50" w14:textId="7DCC8CF1" w:rsidR="007B49E7" w:rsidRDefault="009C777A" w:rsidP="00007FE1">
            <w:pPr>
              <w:pStyle w:val="Tabledata"/>
            </w:pPr>
            <w:r>
              <w:t>19 July 2021</w:t>
            </w:r>
          </w:p>
        </w:tc>
      </w:tr>
      <w:tr w:rsidR="00A9130C" w:rsidRPr="007D3C6F" w14:paraId="76ED493D" w14:textId="77777777" w:rsidTr="007B49E7">
        <w:trPr>
          <w:trHeight w:val="837"/>
        </w:trPr>
        <w:tc>
          <w:tcPr>
            <w:tcW w:w="1051" w:type="dxa"/>
          </w:tcPr>
          <w:p w14:paraId="0F493601" w14:textId="51CAC3A9" w:rsidR="00A9130C" w:rsidRDefault="00A9130C" w:rsidP="00073FC3">
            <w:pPr>
              <w:pStyle w:val="Tabledata"/>
            </w:pPr>
            <w:r>
              <w:t>2.0</w:t>
            </w:r>
          </w:p>
        </w:tc>
        <w:tc>
          <w:tcPr>
            <w:tcW w:w="2178" w:type="dxa"/>
          </w:tcPr>
          <w:p w14:paraId="06A980FC" w14:textId="6FDB0E26" w:rsidR="00A9130C" w:rsidRDefault="00A9130C" w:rsidP="001C5C01">
            <w:pPr>
              <w:pStyle w:val="Tabledata"/>
            </w:pPr>
            <w:r>
              <w:t>Operational Policy</w:t>
            </w:r>
          </w:p>
        </w:tc>
        <w:tc>
          <w:tcPr>
            <w:tcW w:w="2757" w:type="dxa"/>
          </w:tcPr>
          <w:p w14:paraId="2FC5F500" w14:textId="28FD10EA" w:rsidR="00A9130C" w:rsidRDefault="00A9130C" w:rsidP="00007FE1">
            <w:pPr>
              <w:pStyle w:val="Tabledata"/>
            </w:pPr>
            <w:r>
              <w:t xml:space="preserve">Scheduled Review, </w:t>
            </w:r>
            <w:r w:rsidRPr="00A9130C">
              <w:t>Approved by the Director, Operational Projects, Policy, Compliance and Contracts</w:t>
            </w:r>
          </w:p>
        </w:tc>
        <w:tc>
          <w:tcPr>
            <w:tcW w:w="1628" w:type="dxa"/>
          </w:tcPr>
          <w:p w14:paraId="5854D658" w14:textId="1BC0100B" w:rsidR="00A9130C" w:rsidRDefault="00444950" w:rsidP="00007FE1">
            <w:pPr>
              <w:pStyle w:val="Tabledata"/>
            </w:pPr>
            <w:r>
              <w:t>14 August 2023</w:t>
            </w:r>
          </w:p>
        </w:tc>
        <w:tc>
          <w:tcPr>
            <w:tcW w:w="1618" w:type="dxa"/>
          </w:tcPr>
          <w:p w14:paraId="49AFC389" w14:textId="52DC8770" w:rsidR="00A9130C" w:rsidRDefault="00941053" w:rsidP="00007FE1">
            <w:pPr>
              <w:pStyle w:val="Tabledata"/>
            </w:pPr>
            <w:r>
              <w:t>17 August 2023</w:t>
            </w:r>
          </w:p>
        </w:tc>
      </w:tr>
    </w:tbl>
    <w:p w14:paraId="186230C6" w14:textId="77777777" w:rsidR="00245869" w:rsidRPr="00D05B49" w:rsidRDefault="00245869" w:rsidP="00D05B49"/>
    <w:sectPr w:rsidR="00245869" w:rsidRPr="00D05B49" w:rsidSect="009814BD">
      <w:headerReference w:type="even" r:id="rId27"/>
      <w:headerReference w:type="default" r:id="rId28"/>
      <w:footerReference w:type="default" r:id="rId29"/>
      <w:headerReference w:type="first" r:id="rId30"/>
      <w:type w:val="continuous"/>
      <w:pgSz w:w="11900" w:h="16840" w:code="9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8D95" w14:textId="77777777" w:rsidR="001413F8" w:rsidRDefault="001413F8" w:rsidP="00D06E62">
      <w:r>
        <w:separator/>
      </w:r>
    </w:p>
  </w:endnote>
  <w:endnote w:type="continuationSeparator" w:id="0">
    <w:p w14:paraId="3900E783" w14:textId="77777777" w:rsidR="001413F8" w:rsidRDefault="001413F8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779A" w14:textId="2DBDC305" w:rsidR="001413F8" w:rsidRDefault="001413F8" w:rsidP="00663830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the </w:t>
    </w:r>
    <w:r w:rsidR="0044176A">
      <w:rPr>
        <w:color w:val="C00000"/>
      </w:rPr>
      <w:t>Custodial Ops</w:t>
    </w:r>
    <w:r w:rsidRPr="00627992">
      <w:rPr>
        <w:color w:val="C00000"/>
      </w:rPr>
      <w:t xml:space="preserve"> intranet page</w:t>
    </w:r>
    <w:r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36515C">
      <w:rPr>
        <w:noProof/>
      </w:rPr>
      <w:t>2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36515C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C09F" w14:textId="77777777" w:rsidR="001413F8" w:rsidRDefault="001413F8" w:rsidP="00D06E62">
      <w:r>
        <w:separator/>
      </w:r>
    </w:p>
  </w:footnote>
  <w:footnote w:type="continuationSeparator" w:id="0">
    <w:p w14:paraId="3A61BFE9" w14:textId="77777777" w:rsidR="001413F8" w:rsidRDefault="001413F8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EFD0" w14:textId="232730E4" w:rsidR="001413F8" w:rsidRDefault="001413F8" w:rsidP="00663830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1B317C">
      <w:rPr>
        <w:noProof/>
      </w:rPr>
      <w:t>COPP 10.6 Anti-bullying</w:t>
    </w:r>
    <w:r>
      <w:rPr>
        <w:noProof/>
      </w:rPr>
      <w:fldChar w:fldCharType="end"/>
    </w:r>
    <w:r>
      <w:rPr>
        <w:noProof/>
      </w:rPr>
      <w:t xml:space="preserve"> &lt;v x.x&gt;</w:t>
    </w:r>
  </w:p>
  <w:p w14:paraId="5E1BA872" w14:textId="77777777" w:rsidR="001413F8" w:rsidRDefault="00141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C6B9" w14:textId="725CE1AA" w:rsidR="001413F8" w:rsidRDefault="001413F8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6B0A12" wp14:editId="3A6E0A1D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073892174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73CD5789" w14:textId="77777777" w:rsidR="001413F8" w:rsidRPr="00464E72" w:rsidRDefault="001413F8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B0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3pt;margin-top:17.4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Wo9gEAAM0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073892174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73CD5789" w14:textId="77777777" w:rsidR="001413F8" w:rsidRPr="00464E72" w:rsidRDefault="001413F8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86CF81" wp14:editId="10D360F5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3B53D" w14:textId="77777777" w:rsidR="001413F8" w:rsidRDefault="001413F8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6CF81" id="Text Box 21" o:spid="_x0000_s1027" type="#_x0000_t202" style="position:absolute;margin-left:200.3pt;margin-top:-1.3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" filled="f" stroked="f" strokeweight=".5pt">
              <v:textbox>
                <w:txbxContent>
                  <w:p w14:paraId="5CB3B53D" w14:textId="77777777" w:rsidR="001413F8" w:rsidRDefault="001413F8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183B495C" wp14:editId="357A044C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F7FC" w14:textId="224F69E5" w:rsidR="00026FC8" w:rsidRDefault="00026F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FFA0" w14:textId="4934BE32" w:rsidR="001413F8" w:rsidRDefault="0095690D" w:rsidP="0044176A">
    <w:pPr>
      <w:pStyle w:val="Header"/>
      <w:pBdr>
        <w:bottom w:val="single" w:sz="4" w:space="3" w:color="auto"/>
      </w:pBdr>
      <w:tabs>
        <w:tab w:val="clear" w:pos="4513"/>
        <w:tab w:val="clear" w:pos="9026"/>
        <w:tab w:val="left" w:pos="2496"/>
      </w:tabs>
    </w:pPr>
    <w:r>
      <w:rPr>
        <w:noProof/>
      </w:rPr>
      <w:t>10</w:t>
    </w:r>
    <w:r w:rsidR="002E6CB7">
      <w:rPr>
        <w:noProof/>
      </w:rPr>
      <w:t>.6</w:t>
    </w:r>
    <w:r>
      <w:rPr>
        <w:noProof/>
      </w:rPr>
      <w:t xml:space="preserve"> Anti-bullying</w:t>
    </w:r>
    <w:r w:rsidR="0036394E">
      <w:rPr>
        <w:noProof/>
      </w:rPr>
      <w:t xml:space="preserve"> </w:t>
    </w:r>
    <w:r w:rsidR="00007FE1">
      <w:rPr>
        <w:noProof/>
      </w:rPr>
      <w:t>v</w:t>
    </w:r>
    <w:r w:rsidR="002A1FFC">
      <w:rPr>
        <w:noProof/>
      </w:rPr>
      <w:t>2</w:t>
    </w:r>
    <w:r w:rsidR="00F04DDE">
      <w:rPr>
        <w:noProof/>
      </w:rPr>
      <w:t>.0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00A7" w14:textId="480C7E20" w:rsidR="00026FC8" w:rsidRDefault="00026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E279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5B8113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7C2067"/>
    <w:multiLevelType w:val="hybridMultilevel"/>
    <w:tmpl w:val="A5265310"/>
    <w:lvl w:ilvl="0" w:tplc="2A124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60B"/>
    <w:multiLevelType w:val="hybridMultilevel"/>
    <w:tmpl w:val="0E42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2A5A"/>
    <w:multiLevelType w:val="hybridMultilevel"/>
    <w:tmpl w:val="19729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774F"/>
    <w:multiLevelType w:val="hybridMultilevel"/>
    <w:tmpl w:val="B87E542A"/>
    <w:lvl w:ilvl="0" w:tplc="29FCF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3829"/>
    <w:multiLevelType w:val="hybridMultilevel"/>
    <w:tmpl w:val="93940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2377"/>
    <w:multiLevelType w:val="hybridMultilevel"/>
    <w:tmpl w:val="7526B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A583F"/>
    <w:multiLevelType w:val="hybridMultilevel"/>
    <w:tmpl w:val="3C4A2FEA"/>
    <w:lvl w:ilvl="0" w:tplc="480EC24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6ACF"/>
    <w:multiLevelType w:val="hybridMultilevel"/>
    <w:tmpl w:val="97E4911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B2D1D"/>
    <w:multiLevelType w:val="hybridMultilevel"/>
    <w:tmpl w:val="EAECE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C6DA2"/>
    <w:multiLevelType w:val="hybridMultilevel"/>
    <w:tmpl w:val="84F42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5FF9"/>
    <w:multiLevelType w:val="hybridMultilevel"/>
    <w:tmpl w:val="1CD0976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41DE4"/>
    <w:multiLevelType w:val="multilevel"/>
    <w:tmpl w:val="84F42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61053"/>
    <w:multiLevelType w:val="hybridMultilevel"/>
    <w:tmpl w:val="E62019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0438EF"/>
    <w:multiLevelType w:val="hybridMultilevel"/>
    <w:tmpl w:val="AB5213B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575C7"/>
    <w:multiLevelType w:val="hybridMultilevel"/>
    <w:tmpl w:val="34AE6D5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5F1835"/>
    <w:multiLevelType w:val="multilevel"/>
    <w:tmpl w:val="2F985AA4"/>
    <w:lvl w:ilvl="0">
      <w:start w:val="1"/>
      <w:numFmt w:val="decimal"/>
      <w:pStyle w:val="StyleHeading112ptLeft0cmBefore0pt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1067" w:hanging="567"/>
      </w:pPr>
      <w:rPr>
        <w:rFonts w:ascii="Trebuchet MS" w:hAnsi="Trebuchet MS" w:hint="default"/>
        <w:b/>
        <w:i w:val="0"/>
        <w:sz w:val="22"/>
        <w:szCs w:val="20"/>
      </w:rPr>
    </w:lvl>
    <w:lvl w:ilvl="3">
      <w:start w:val="1"/>
      <w:numFmt w:val="decimal"/>
      <w:lvlText w:val="%4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2C33B6"/>
    <w:multiLevelType w:val="hybridMultilevel"/>
    <w:tmpl w:val="FBEE65EC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813268C"/>
    <w:multiLevelType w:val="hybridMultilevel"/>
    <w:tmpl w:val="C99AA6DE"/>
    <w:lvl w:ilvl="0" w:tplc="39827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2F79"/>
    <w:multiLevelType w:val="hybridMultilevel"/>
    <w:tmpl w:val="5704B12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8D1FEF"/>
    <w:multiLevelType w:val="hybridMultilevel"/>
    <w:tmpl w:val="873CA8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6A23AA"/>
    <w:multiLevelType w:val="hybridMultilevel"/>
    <w:tmpl w:val="EEE452C8"/>
    <w:lvl w:ilvl="0" w:tplc="C51C7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83EA9"/>
    <w:multiLevelType w:val="hybridMultilevel"/>
    <w:tmpl w:val="1BB41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66CE8"/>
    <w:multiLevelType w:val="hybridMultilevel"/>
    <w:tmpl w:val="C4627C3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2F4254"/>
    <w:multiLevelType w:val="multilevel"/>
    <w:tmpl w:val="B87A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6E481C"/>
    <w:multiLevelType w:val="hybridMultilevel"/>
    <w:tmpl w:val="37089A7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5917">
    <w:abstractNumId w:val="13"/>
  </w:num>
  <w:num w:numId="2" w16cid:durableId="1928615909">
    <w:abstractNumId w:val="8"/>
  </w:num>
  <w:num w:numId="3" w16cid:durableId="600601914">
    <w:abstractNumId w:val="1"/>
  </w:num>
  <w:num w:numId="4" w16cid:durableId="1820346217">
    <w:abstractNumId w:val="0"/>
  </w:num>
  <w:num w:numId="5" w16cid:durableId="679746122">
    <w:abstractNumId w:val="15"/>
  </w:num>
  <w:num w:numId="6" w16cid:durableId="687021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8973195">
    <w:abstractNumId w:val="11"/>
  </w:num>
  <w:num w:numId="8" w16cid:durableId="643386957">
    <w:abstractNumId w:val="28"/>
  </w:num>
  <w:num w:numId="9" w16cid:durableId="571937990">
    <w:abstractNumId w:val="3"/>
  </w:num>
  <w:num w:numId="10" w16cid:durableId="942952388">
    <w:abstractNumId w:val="14"/>
  </w:num>
  <w:num w:numId="11" w16cid:durableId="1862816829">
    <w:abstractNumId w:val="26"/>
  </w:num>
  <w:num w:numId="12" w16cid:durableId="554043761">
    <w:abstractNumId w:val="7"/>
  </w:num>
  <w:num w:numId="13" w16cid:durableId="11802680">
    <w:abstractNumId w:val="18"/>
  </w:num>
  <w:num w:numId="14" w16cid:durableId="292951814">
    <w:abstractNumId w:val="25"/>
  </w:num>
  <w:num w:numId="15" w16cid:durableId="1286232940">
    <w:abstractNumId w:val="12"/>
  </w:num>
  <w:num w:numId="16" w16cid:durableId="1234243058">
    <w:abstractNumId w:val="22"/>
  </w:num>
  <w:num w:numId="17" w16cid:durableId="48919403">
    <w:abstractNumId w:val="17"/>
  </w:num>
  <w:num w:numId="18" w16cid:durableId="203641936">
    <w:abstractNumId w:val="20"/>
  </w:num>
  <w:num w:numId="19" w16cid:durableId="207884913">
    <w:abstractNumId w:val="21"/>
  </w:num>
  <w:num w:numId="20" w16cid:durableId="728916663">
    <w:abstractNumId w:val="6"/>
  </w:num>
  <w:num w:numId="21" w16cid:durableId="4526147">
    <w:abstractNumId w:val="24"/>
  </w:num>
  <w:num w:numId="22" w16cid:durableId="1905139099">
    <w:abstractNumId w:val="19"/>
  </w:num>
  <w:num w:numId="23" w16cid:durableId="611862701">
    <w:abstractNumId w:val="27"/>
  </w:num>
  <w:num w:numId="24" w16cid:durableId="1874149374">
    <w:abstractNumId w:val="16"/>
  </w:num>
  <w:num w:numId="25" w16cid:durableId="1068959086">
    <w:abstractNumId w:val="5"/>
  </w:num>
  <w:num w:numId="26" w16cid:durableId="1680614745">
    <w:abstractNumId w:val="2"/>
  </w:num>
  <w:num w:numId="27" w16cid:durableId="574707286">
    <w:abstractNumId w:val="23"/>
  </w:num>
  <w:num w:numId="28" w16cid:durableId="468866253">
    <w:abstractNumId w:val="4"/>
  </w:num>
  <w:num w:numId="29" w16cid:durableId="1225877419">
    <w:abstractNumId w:val="10"/>
  </w:num>
  <w:num w:numId="30" w16cid:durableId="956911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y8W/F3mUDs8J/DbqYa/NEoIX9I2tCQ2Wj1+wUmhBsk2kPILWLeIeiiGdievNP51UiaBRwO3uX/eHiJke/Awn0g==" w:salt="Lsl7DpzQEJpKKlTqO9KqmA=="/>
  <w:defaultTabStop w:val="720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B34CE1"/>
    <w:rsid w:val="00001F70"/>
    <w:rsid w:val="00007457"/>
    <w:rsid w:val="00007FE1"/>
    <w:rsid w:val="00026FC8"/>
    <w:rsid w:val="000309FF"/>
    <w:rsid w:val="00037055"/>
    <w:rsid w:val="00045F51"/>
    <w:rsid w:val="00073FC3"/>
    <w:rsid w:val="000755EE"/>
    <w:rsid w:val="000925A5"/>
    <w:rsid w:val="000A013B"/>
    <w:rsid w:val="000A460D"/>
    <w:rsid w:val="000B6320"/>
    <w:rsid w:val="000D008C"/>
    <w:rsid w:val="000D69A3"/>
    <w:rsid w:val="000F5786"/>
    <w:rsid w:val="000F7531"/>
    <w:rsid w:val="001035D6"/>
    <w:rsid w:val="00107ED0"/>
    <w:rsid w:val="0011521F"/>
    <w:rsid w:val="001158E9"/>
    <w:rsid w:val="00126611"/>
    <w:rsid w:val="00131037"/>
    <w:rsid w:val="001413F8"/>
    <w:rsid w:val="00144A1B"/>
    <w:rsid w:val="00146739"/>
    <w:rsid w:val="00150099"/>
    <w:rsid w:val="00155864"/>
    <w:rsid w:val="001757E8"/>
    <w:rsid w:val="00183B4D"/>
    <w:rsid w:val="00191543"/>
    <w:rsid w:val="00193880"/>
    <w:rsid w:val="00195C72"/>
    <w:rsid w:val="001B2C03"/>
    <w:rsid w:val="001B317C"/>
    <w:rsid w:val="001C5C01"/>
    <w:rsid w:val="001D16B6"/>
    <w:rsid w:val="001E11F8"/>
    <w:rsid w:val="001E1540"/>
    <w:rsid w:val="001E6E24"/>
    <w:rsid w:val="002178FA"/>
    <w:rsid w:val="002413E8"/>
    <w:rsid w:val="00242A56"/>
    <w:rsid w:val="002452B7"/>
    <w:rsid w:val="002457AA"/>
    <w:rsid w:val="00245869"/>
    <w:rsid w:val="00250C62"/>
    <w:rsid w:val="00254316"/>
    <w:rsid w:val="0027609B"/>
    <w:rsid w:val="00285795"/>
    <w:rsid w:val="00296136"/>
    <w:rsid w:val="002A1FFC"/>
    <w:rsid w:val="002A662A"/>
    <w:rsid w:val="002C308F"/>
    <w:rsid w:val="002E5756"/>
    <w:rsid w:val="002E6CB7"/>
    <w:rsid w:val="002E6F7B"/>
    <w:rsid w:val="00302144"/>
    <w:rsid w:val="00307964"/>
    <w:rsid w:val="00310CD3"/>
    <w:rsid w:val="00360EA6"/>
    <w:rsid w:val="0036394E"/>
    <w:rsid w:val="00364621"/>
    <w:rsid w:val="0036515C"/>
    <w:rsid w:val="00371787"/>
    <w:rsid w:val="00380258"/>
    <w:rsid w:val="003C1B90"/>
    <w:rsid w:val="003D1C51"/>
    <w:rsid w:val="003D708E"/>
    <w:rsid w:val="003E6CE1"/>
    <w:rsid w:val="00400DF5"/>
    <w:rsid w:val="0040796F"/>
    <w:rsid w:val="00421B1A"/>
    <w:rsid w:val="00421B31"/>
    <w:rsid w:val="0044176A"/>
    <w:rsid w:val="00444950"/>
    <w:rsid w:val="00457598"/>
    <w:rsid w:val="00464E72"/>
    <w:rsid w:val="00474926"/>
    <w:rsid w:val="00490500"/>
    <w:rsid w:val="00497270"/>
    <w:rsid w:val="004B307A"/>
    <w:rsid w:val="004B6106"/>
    <w:rsid w:val="004C040F"/>
    <w:rsid w:val="004C1FC9"/>
    <w:rsid w:val="004D040B"/>
    <w:rsid w:val="004D5188"/>
    <w:rsid w:val="004E571B"/>
    <w:rsid w:val="004F3E52"/>
    <w:rsid w:val="00507CEA"/>
    <w:rsid w:val="00521AF0"/>
    <w:rsid w:val="00525876"/>
    <w:rsid w:val="00525BD7"/>
    <w:rsid w:val="00554385"/>
    <w:rsid w:val="005576EB"/>
    <w:rsid w:val="00560F25"/>
    <w:rsid w:val="005657AE"/>
    <w:rsid w:val="00576EFF"/>
    <w:rsid w:val="005834E8"/>
    <w:rsid w:val="00592112"/>
    <w:rsid w:val="005A3EA6"/>
    <w:rsid w:val="005C6E8E"/>
    <w:rsid w:val="005D7AE7"/>
    <w:rsid w:val="005E566A"/>
    <w:rsid w:val="00613026"/>
    <w:rsid w:val="00613844"/>
    <w:rsid w:val="00627992"/>
    <w:rsid w:val="006335A4"/>
    <w:rsid w:val="00634C54"/>
    <w:rsid w:val="00642D6C"/>
    <w:rsid w:val="006444FB"/>
    <w:rsid w:val="00644A2D"/>
    <w:rsid w:val="00656F4A"/>
    <w:rsid w:val="00663830"/>
    <w:rsid w:val="0066531A"/>
    <w:rsid w:val="006669F3"/>
    <w:rsid w:val="0069300C"/>
    <w:rsid w:val="006A0618"/>
    <w:rsid w:val="006B3601"/>
    <w:rsid w:val="006C4F83"/>
    <w:rsid w:val="006E7FA1"/>
    <w:rsid w:val="006F52B0"/>
    <w:rsid w:val="00711C79"/>
    <w:rsid w:val="00712169"/>
    <w:rsid w:val="00715807"/>
    <w:rsid w:val="00723E2A"/>
    <w:rsid w:val="007444AC"/>
    <w:rsid w:val="00752A9E"/>
    <w:rsid w:val="00775238"/>
    <w:rsid w:val="00777A67"/>
    <w:rsid w:val="007B49E7"/>
    <w:rsid w:val="007B4ED4"/>
    <w:rsid w:val="007C5711"/>
    <w:rsid w:val="007D3C6F"/>
    <w:rsid w:val="007E67F4"/>
    <w:rsid w:val="008000C6"/>
    <w:rsid w:val="00803710"/>
    <w:rsid w:val="00803E87"/>
    <w:rsid w:val="008114B3"/>
    <w:rsid w:val="008118FE"/>
    <w:rsid w:val="00832D00"/>
    <w:rsid w:val="00844223"/>
    <w:rsid w:val="00857A48"/>
    <w:rsid w:val="00860631"/>
    <w:rsid w:val="0086067A"/>
    <w:rsid w:val="00861E5A"/>
    <w:rsid w:val="008976B1"/>
    <w:rsid w:val="008B5E88"/>
    <w:rsid w:val="008D3DE0"/>
    <w:rsid w:val="008D51C1"/>
    <w:rsid w:val="008D56DC"/>
    <w:rsid w:val="008F1338"/>
    <w:rsid w:val="00904577"/>
    <w:rsid w:val="0091065E"/>
    <w:rsid w:val="00930B45"/>
    <w:rsid w:val="00936F5E"/>
    <w:rsid w:val="00941053"/>
    <w:rsid w:val="0095690D"/>
    <w:rsid w:val="0096091F"/>
    <w:rsid w:val="009814BD"/>
    <w:rsid w:val="009962C0"/>
    <w:rsid w:val="009A19E1"/>
    <w:rsid w:val="009B751B"/>
    <w:rsid w:val="009C1CD2"/>
    <w:rsid w:val="009C777A"/>
    <w:rsid w:val="009D3A66"/>
    <w:rsid w:val="00A37664"/>
    <w:rsid w:val="00A37F23"/>
    <w:rsid w:val="00A4163E"/>
    <w:rsid w:val="00A43D05"/>
    <w:rsid w:val="00A547EA"/>
    <w:rsid w:val="00A820CD"/>
    <w:rsid w:val="00A9130C"/>
    <w:rsid w:val="00AB3F0F"/>
    <w:rsid w:val="00AB46DA"/>
    <w:rsid w:val="00AC5EAE"/>
    <w:rsid w:val="00AD022B"/>
    <w:rsid w:val="00AE3362"/>
    <w:rsid w:val="00AF4C82"/>
    <w:rsid w:val="00AF7DDC"/>
    <w:rsid w:val="00B02B08"/>
    <w:rsid w:val="00B34CE1"/>
    <w:rsid w:val="00B46CD7"/>
    <w:rsid w:val="00B55BA0"/>
    <w:rsid w:val="00B63E93"/>
    <w:rsid w:val="00B937D8"/>
    <w:rsid w:val="00BB1CCD"/>
    <w:rsid w:val="00BE4850"/>
    <w:rsid w:val="00C06A93"/>
    <w:rsid w:val="00C0767A"/>
    <w:rsid w:val="00C11C3C"/>
    <w:rsid w:val="00C15484"/>
    <w:rsid w:val="00C2101E"/>
    <w:rsid w:val="00C310FA"/>
    <w:rsid w:val="00C34111"/>
    <w:rsid w:val="00C524C9"/>
    <w:rsid w:val="00C524E5"/>
    <w:rsid w:val="00C53C8B"/>
    <w:rsid w:val="00C820A4"/>
    <w:rsid w:val="00C8272F"/>
    <w:rsid w:val="00C97174"/>
    <w:rsid w:val="00CB7B8F"/>
    <w:rsid w:val="00CC47AF"/>
    <w:rsid w:val="00CD4D76"/>
    <w:rsid w:val="00CE1A06"/>
    <w:rsid w:val="00CE3D98"/>
    <w:rsid w:val="00CF0D69"/>
    <w:rsid w:val="00D05B49"/>
    <w:rsid w:val="00D06E62"/>
    <w:rsid w:val="00D20E41"/>
    <w:rsid w:val="00D22F0B"/>
    <w:rsid w:val="00D2528E"/>
    <w:rsid w:val="00D52373"/>
    <w:rsid w:val="00D727A5"/>
    <w:rsid w:val="00D9330E"/>
    <w:rsid w:val="00DC38AA"/>
    <w:rsid w:val="00DF778C"/>
    <w:rsid w:val="00E102E9"/>
    <w:rsid w:val="00E149FD"/>
    <w:rsid w:val="00E21BC0"/>
    <w:rsid w:val="00E22FD8"/>
    <w:rsid w:val="00E5692F"/>
    <w:rsid w:val="00E7053D"/>
    <w:rsid w:val="00E84D53"/>
    <w:rsid w:val="00EA2F74"/>
    <w:rsid w:val="00EA6531"/>
    <w:rsid w:val="00EA7EAC"/>
    <w:rsid w:val="00EB19E7"/>
    <w:rsid w:val="00EC11D3"/>
    <w:rsid w:val="00EC2113"/>
    <w:rsid w:val="00EC5AF1"/>
    <w:rsid w:val="00EC7AB2"/>
    <w:rsid w:val="00ED5E92"/>
    <w:rsid w:val="00ED6A46"/>
    <w:rsid w:val="00EF1CBD"/>
    <w:rsid w:val="00EF2200"/>
    <w:rsid w:val="00F04DDE"/>
    <w:rsid w:val="00F43BB4"/>
    <w:rsid w:val="00F45492"/>
    <w:rsid w:val="00F60389"/>
    <w:rsid w:val="00F8119D"/>
    <w:rsid w:val="00F842EE"/>
    <w:rsid w:val="00F933CE"/>
    <w:rsid w:val="00F948E8"/>
    <w:rsid w:val="00F969F4"/>
    <w:rsid w:val="00FA1D8B"/>
    <w:rsid w:val="00FA430D"/>
    <w:rsid w:val="00FB6B14"/>
    <w:rsid w:val="00FC361B"/>
    <w:rsid w:val="00FD1E63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CC3CC00"/>
  <w14:defaultImageDpi w14:val="300"/>
  <w15:docId w15:val="{CDC2D16C-0881-4F0E-AFCC-A992916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5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FB"/>
    <w:pPr>
      <w:keepNext/>
      <w:keepLines/>
      <w:numPr>
        <w:numId w:val="3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5EE"/>
    <w:pPr>
      <w:keepNext/>
      <w:keepLines/>
      <w:numPr>
        <w:ilvl w:val="3"/>
        <w:numId w:val="3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5EE"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3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3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3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3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6444FB"/>
    <w:rPr>
      <w:rFonts w:ascii="Arial" w:eastAsia="MS Gothic" w:hAnsi="Arial"/>
      <w:b/>
      <w:bCs/>
      <w:color w:val="000000" w:themeColor="text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755EE"/>
    <w:rPr>
      <w:rFonts w:ascii="Arial" w:eastAsia="MS Gothic" w:hAnsi="Arial" w:cs="Times New Roman"/>
      <w:b/>
      <w:szCs w:val="26"/>
    </w:rPr>
  </w:style>
  <w:style w:type="character" w:customStyle="1" w:styleId="Heading3Char">
    <w:name w:val="Heading 3 Char"/>
    <w:link w:val="Heading3"/>
    <w:uiPriority w:val="9"/>
    <w:semiHidden/>
    <w:rsid w:val="00C34111"/>
    <w:rPr>
      <w:rFonts w:ascii="Arial" w:eastAsia="MS Gothic" w:hAnsi="Arial"/>
      <w:bCs/>
      <w:color w:val="003057"/>
      <w:sz w:val="24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0755E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5690D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A547EA"/>
    <w:pPr>
      <w:keepNext/>
      <w:keepLines/>
      <w:numPr>
        <w:numId w:val="4"/>
      </w:numPr>
      <w:spacing w:after="120"/>
      <w:ind w:left="357" w:hanging="357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8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paragraph" w:customStyle="1" w:styleId="StyleHeading112ptLeft0cmBefore0pt1">
    <w:name w:val="Style Heading 1 + 12 pt Left:  0 cm Before:  0 pt1"/>
    <w:basedOn w:val="Heading1"/>
    <w:rsid w:val="00860631"/>
    <w:pPr>
      <w:keepLines w:val="0"/>
      <w:numPr>
        <w:numId w:val="13"/>
      </w:numPr>
      <w:autoSpaceDE w:val="0"/>
      <w:autoSpaceDN w:val="0"/>
      <w:spacing w:before="0"/>
      <w:jc w:val="both"/>
    </w:pPr>
    <w:rPr>
      <w:rFonts w:eastAsia="Times New Roman"/>
      <w:color w:val="auto"/>
      <w:kern w:val="28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9300C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693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00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00C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rsid w:val="008118FE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4D7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7492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justus/intranet/prison-operations/Pages/prison-copps.aspx" TargetMode="External"/><Relationship Id="rId26" Type="http://schemas.openxmlformats.org/officeDocument/2006/relationships/hyperlink" Target="http://justus/intranet/department/standards/Pages/monitoring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justus/intranet/prison-operations/Pages/arms.aspx" TargetMode="External"/><Relationship Id="rId7" Type="http://schemas.openxmlformats.org/officeDocument/2006/relationships/styles" Target="styles.xml"/><Relationship Id="rId12" Type="http://schemas.openxmlformats.org/officeDocument/2006/relationships/hyperlink" Target="http://justus/search/Pages/results.aspx?k=guiding%20principles%20for%20corrections%20australia" TargetMode="External"/><Relationship Id="rId17" Type="http://schemas.openxmlformats.org/officeDocument/2006/relationships/hyperlink" Target="http://justus/intranet/prison-operations/Pages/prison-copps.aspx" TargetMode="External"/><Relationship Id="rId25" Type="http://schemas.openxmlformats.org/officeDocument/2006/relationships/hyperlink" Target="http://justus/intranet/department/standards/Pages/monitoring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justus/intranet/prison-operations/Pages/prison-copps.aspx" TargetMode="External"/><Relationship Id="rId20" Type="http://schemas.openxmlformats.org/officeDocument/2006/relationships/hyperlink" Target="http://justus/intranet/prison-operations/Pages/prison-copps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slp.wa.gov.au/legislation/statutes.nsf/main_mrtitle_751_homepage.html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justus/intranet/prison-operations/Pages/prison-copps.aspx" TargetMode="External"/><Relationship Id="rId23" Type="http://schemas.openxmlformats.org/officeDocument/2006/relationships/hyperlink" Target="http://www.slp.wa.gov.au/legislation/statutes.nsf/main_mrtitle_751_homepage.html" TargetMode="External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http://justus/intranet/prison-operations/Pages/prison-copps.asp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slp.wa.gov.au/legislation/statutes.nsf/main_mrtitle_751_homepage.html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d73d990e-b5bb-4bad-9fd6-d25e3a2f8bb9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Advisory Services</TermName>
          <TermId xmlns="http://schemas.microsoft.com/office/infopath/2007/PartnerControls">8cc1496a-6584-483e-8dcd-3e26a031bf44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f79bcab4-4348-403e-ad4c-9761a12bb89b</TermId>
        </TermInfo>
      </Terms>
    </kf620cb349b946fa81ca1074c0b3c5af>
    <CategoryDescription xmlns="http://schemas.microsoft.com/sharepoint.v3">COPP 10.6 Anti-bullying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ffba8bc2-640c-4bfe-8f63-b1fc456e246a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62024-F03A-4CE0-8C71-9BB53F8350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87620643-678a-4ec4-b8d1-35ea5295a2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elements/1.1/"/>
    <ds:schemaRef ds:uri="http://schemas.microsoft.com/sharepoint.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1871</Words>
  <Characters>10667</Characters>
  <Application>Microsoft Office Word</Application>
  <DocSecurity>12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template</vt:lpstr>
    </vt:vector>
  </TitlesOfParts>
  <Manager>Nimilandra.Nageswaran@correctiveservices.wa.gov.au</Manager>
  <Company>Department of Justice</Company>
  <LinksUpToDate>false</LinksUpToDate>
  <CharactersWithSpaces>12513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10.6 Anti-bullying</dc:title>
  <dc:subject/>
  <dc:creator>Byrne, Claire</dc:creator>
  <cp:keywords>Commissioner's Operating Policy and Procedure (COPP); Prison Operations; Adult Custodial; Procedures; Policies.</cp:keywords>
  <dc:description/>
  <cp:lastModifiedBy>Maris Margetts</cp:lastModifiedBy>
  <cp:revision>2</cp:revision>
  <cp:lastPrinted>2023-08-14T05:46:00Z</cp:lastPrinted>
  <dcterms:created xsi:type="dcterms:W3CDTF">2023-08-18T03:57:00Z</dcterms:created>
  <dcterms:modified xsi:type="dcterms:W3CDTF">2023-08-18T03:57:00Z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