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86C4" w14:textId="0D0E399F" w:rsidR="00146739" w:rsidRPr="002E5756" w:rsidRDefault="008114B3" w:rsidP="002E5756">
      <w:pPr>
        <w:pStyle w:val="Title"/>
      </w:pPr>
      <w:r w:rsidRPr="002E5756">
        <w:t xml:space="preserve">COPP </w:t>
      </w:r>
      <w:r w:rsidR="003E7C04">
        <w:t xml:space="preserve">7.4 Detainees </w:t>
      </w:r>
      <w:r w:rsidR="00B71E59">
        <w:t>a</w:t>
      </w:r>
      <w:r w:rsidR="003E7C04">
        <w:t>t</w:t>
      </w:r>
      <w:r w:rsidR="00970D94">
        <w:t xml:space="preserve"> </w:t>
      </w:r>
      <w:r w:rsidR="003E7C04">
        <w:t>Risk of Self</w:t>
      </w:r>
      <w:r w:rsidR="007B0741">
        <w:t>-</w:t>
      </w:r>
      <w:r w:rsidR="003E7C04">
        <w:t xml:space="preserve">Harm or </w:t>
      </w:r>
      <w:r w:rsidR="00645B84">
        <w:t>R</w:t>
      </w:r>
      <w:r w:rsidR="003E7C04">
        <w:t xml:space="preserve">equiring </w:t>
      </w:r>
      <w:r w:rsidR="00645B84">
        <w:t>A</w:t>
      </w:r>
      <w:r w:rsidR="00970D94">
        <w:t>dd</w:t>
      </w:r>
      <w:r w:rsidR="003E7C04">
        <w:t>itional Support and Monitoring</w:t>
      </w:r>
    </w:p>
    <w:p w14:paraId="7925CEC3" w14:textId="2600D088" w:rsidR="000D69A3" w:rsidRPr="00EA7EAC" w:rsidRDefault="000E4B13" w:rsidP="00EA7EAC">
      <w:pPr>
        <w:pStyle w:val="Subtitle"/>
      </w:pPr>
      <w:r>
        <w:t xml:space="preserve">Youth </w:t>
      </w:r>
      <w:r w:rsidR="00A547EA">
        <w:t>Detention Centre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15EC94DD" w14:textId="77777777" w:rsidTr="00A547EA">
        <w:trPr>
          <w:trHeight w:val="9327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3A7A0C92" w14:textId="77777777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1D3A9F35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>In the context of the:</w:t>
            </w:r>
          </w:p>
          <w:p w14:paraId="6CFA74C4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5F5E6C1A" w14:textId="6AF0037C" w:rsidR="003E7C04" w:rsidRPr="003E7C04" w:rsidRDefault="00000000" w:rsidP="003E7C04">
            <w:pPr>
              <w:pStyle w:val="Instructionalnote"/>
              <w:rPr>
                <w:color w:val="auto"/>
              </w:rPr>
            </w:pPr>
            <w:hyperlink r:id="rId12" w:history="1">
              <w:r w:rsidR="003E7C04" w:rsidRPr="003E7C04">
                <w:rPr>
                  <w:rStyle w:val="Hyperlink"/>
                </w:rPr>
                <w:t>Australasian Juvenile Justice Administrators Juvenile Justice Standards 2019</w:t>
              </w:r>
            </w:hyperlink>
            <w:r w:rsidR="003E7C04" w:rsidRPr="003E7C04">
              <w:rPr>
                <w:color w:val="auto"/>
              </w:rPr>
              <w:t>:</w:t>
            </w:r>
          </w:p>
          <w:p w14:paraId="446606AC" w14:textId="6DFD2055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>The Australasian Juvenile Justice Standards (AJJA) have been developed to support jurisdictions to deliver services that: provide juvenile justice services in ways that optimise the health and wellbeing of children and young people</w:t>
            </w:r>
            <w:r w:rsidR="00F71643">
              <w:rPr>
                <w:color w:val="auto"/>
              </w:rPr>
              <w:t>.</w:t>
            </w:r>
          </w:p>
          <w:p w14:paraId="191ADD89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36B19D92" w14:textId="6A9C995B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>Services provide a safe environment that minimises any form of harm or hara</w:t>
            </w:r>
            <w:r w:rsidR="00970D94">
              <w:rPr>
                <w:color w:val="auto"/>
              </w:rPr>
              <w:t>ss</w:t>
            </w:r>
            <w:r w:rsidRPr="003E7C04">
              <w:rPr>
                <w:color w:val="auto"/>
              </w:rPr>
              <w:t xml:space="preserve">ment. </w:t>
            </w:r>
          </w:p>
          <w:p w14:paraId="56F6CAD8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54D0B462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 xml:space="preserve">The health and wellbeing of a child or young person is paramount during periods of isolation or separation. </w:t>
            </w:r>
          </w:p>
          <w:p w14:paraId="65A4ED5D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0332F9DB" w14:textId="636AD0BC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>Self-harm and suicide prevention and intervention strategies are in place</w:t>
            </w:r>
            <w:r w:rsidR="00E11E6E">
              <w:rPr>
                <w:color w:val="auto"/>
              </w:rPr>
              <w:t>.</w:t>
            </w:r>
          </w:p>
          <w:p w14:paraId="55A7FDB4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28BCD69C" w14:textId="169B4B5B" w:rsidR="003E7C04" w:rsidRPr="003E7C04" w:rsidRDefault="00000000" w:rsidP="003E7C04">
            <w:pPr>
              <w:pStyle w:val="Instructionalnote"/>
              <w:rPr>
                <w:color w:val="auto"/>
              </w:rPr>
            </w:pPr>
            <w:hyperlink r:id="rId13" w:history="1">
              <w:r w:rsidR="003E7C04" w:rsidRPr="003E7C04">
                <w:rPr>
                  <w:rStyle w:val="Hyperlink"/>
                </w:rPr>
                <w:t>National Principles for Child Safe Organisations 2019</w:t>
              </w:r>
            </w:hyperlink>
            <w:r w:rsidR="003E7C04" w:rsidRPr="003E7C04">
              <w:rPr>
                <w:color w:val="auto"/>
              </w:rPr>
              <w:t>:</w:t>
            </w:r>
          </w:p>
          <w:p w14:paraId="6F81DE95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6444F802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>Risk management strategies focus on preventing, identifying and mitigating risks to children and young people.</w:t>
            </w:r>
          </w:p>
          <w:p w14:paraId="44EB448F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10B20801" w14:textId="5FC27830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>Staff and volunteers are attuned to signs of harm and facilitate child-friendly ways for children to expre</w:t>
            </w:r>
            <w:r w:rsidR="00970D94">
              <w:rPr>
                <w:color w:val="auto"/>
              </w:rPr>
              <w:t>ss</w:t>
            </w:r>
            <w:r w:rsidRPr="003E7C04">
              <w:rPr>
                <w:color w:val="auto"/>
              </w:rPr>
              <w:t xml:space="preserve"> their views, participate in decision-making and raise their concerns.</w:t>
            </w:r>
          </w:p>
          <w:p w14:paraId="18E9D0FA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5D02CCA7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>The organisation, including staff and volunteers, understands children and young people’s diverse circumstances, and provides support and responds to those who are vulnerable.</w:t>
            </w:r>
          </w:p>
          <w:p w14:paraId="4F720799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649A45C2" w14:textId="7E7BC49F" w:rsidR="003E7C04" w:rsidRPr="003E7C04" w:rsidRDefault="003E7C04" w:rsidP="003E7C04">
            <w:pPr>
              <w:pStyle w:val="Instructionalnote"/>
              <w:rPr>
                <w:color w:val="auto"/>
              </w:rPr>
            </w:pPr>
            <w:r w:rsidRPr="003E7C04">
              <w:rPr>
                <w:color w:val="auto"/>
              </w:rPr>
              <w:t>Staff and volunteers are equipped with the knowledge, skills and awarene</w:t>
            </w:r>
            <w:r w:rsidR="00970D94">
              <w:rPr>
                <w:color w:val="auto"/>
              </w:rPr>
              <w:t>ss</w:t>
            </w:r>
            <w:r w:rsidRPr="003E7C04">
              <w:rPr>
                <w:color w:val="auto"/>
              </w:rPr>
              <w:t xml:space="preserve"> to keep children and young people safe through ongoing education and training.</w:t>
            </w:r>
          </w:p>
          <w:p w14:paraId="0D7300C4" w14:textId="77777777" w:rsidR="003E7C04" w:rsidRPr="003E7C04" w:rsidRDefault="003E7C04" w:rsidP="003E7C04">
            <w:pPr>
              <w:pStyle w:val="Instructionalnote"/>
              <w:rPr>
                <w:color w:val="auto"/>
              </w:rPr>
            </w:pPr>
          </w:p>
          <w:p w14:paraId="77410F15" w14:textId="3642B1F4" w:rsidR="00663830" w:rsidRDefault="003E7C04" w:rsidP="003E7C04">
            <w:pPr>
              <w:pStyle w:val="Instructionalnote"/>
            </w:pPr>
            <w:r w:rsidRPr="003E7C04">
              <w:rPr>
                <w:color w:val="auto"/>
              </w:rPr>
              <w:t>Staff and volunteers receive training and information to respond effectively to i</w:t>
            </w:r>
            <w:r w:rsidR="00970D94">
              <w:rPr>
                <w:color w:val="auto"/>
              </w:rPr>
              <w:t>ss</w:t>
            </w:r>
            <w:r w:rsidRPr="003E7C04">
              <w:rPr>
                <w:color w:val="auto"/>
              </w:rPr>
              <w:t>ues of child safety and wellbeing and support colleagues who disclose harm.</w:t>
            </w:r>
          </w:p>
        </w:tc>
      </w:tr>
    </w:tbl>
    <w:p w14:paraId="3C81D8CC" w14:textId="77777777" w:rsidR="00663830" w:rsidRDefault="00663830" w:rsidP="00803710">
      <w:pPr>
        <w:rPr>
          <w:b/>
        </w:rPr>
        <w:sectPr w:rsidR="00663830" w:rsidSect="002E5756">
          <w:headerReference w:type="default" r:id="rId14"/>
          <w:headerReference w:type="first" r:id="rId15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5C66D171" w14:textId="06D8A08A" w:rsidR="00FA1D8B" w:rsidRDefault="00FA1D8B" w:rsidP="00AF7DDC">
      <w:pPr>
        <w:pStyle w:val="Heading"/>
      </w:pPr>
      <w:r w:rsidRPr="00AF7DDC">
        <w:lastRenderedPageBreak/>
        <w:t>Contents</w:t>
      </w:r>
    </w:p>
    <w:p w14:paraId="3F936F8D" w14:textId="77777777" w:rsidR="000B4C76" w:rsidRPr="00AF7DDC" w:rsidRDefault="000B4C76" w:rsidP="00AF7DDC">
      <w:pPr>
        <w:pStyle w:val="Heading"/>
      </w:pPr>
    </w:p>
    <w:p w14:paraId="47C9631B" w14:textId="632B69E5" w:rsidR="00B71202" w:rsidRDefault="006551E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9126077" w:history="1">
        <w:r w:rsidR="00B71202" w:rsidRPr="0012286D">
          <w:rPr>
            <w:rStyle w:val="Hyperlink"/>
            <w:noProof/>
          </w:rPr>
          <w:t>1</w:t>
        </w:r>
        <w:r w:rsidR="00B7120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71202" w:rsidRPr="0012286D">
          <w:rPr>
            <w:rStyle w:val="Hyperlink"/>
            <w:noProof/>
          </w:rPr>
          <w:t>Scope</w:t>
        </w:r>
        <w:r w:rsidR="00B71202">
          <w:rPr>
            <w:noProof/>
            <w:webHidden/>
          </w:rPr>
          <w:tab/>
        </w:r>
        <w:r w:rsidR="00B71202">
          <w:rPr>
            <w:noProof/>
            <w:webHidden/>
          </w:rPr>
          <w:fldChar w:fldCharType="begin"/>
        </w:r>
        <w:r w:rsidR="00B71202">
          <w:rPr>
            <w:noProof/>
            <w:webHidden/>
          </w:rPr>
          <w:instrText xml:space="preserve"> PAGEREF _Toc149126077 \h </w:instrText>
        </w:r>
        <w:r w:rsidR="00B71202">
          <w:rPr>
            <w:noProof/>
            <w:webHidden/>
          </w:rPr>
        </w:r>
        <w:r w:rsidR="00B71202">
          <w:rPr>
            <w:noProof/>
            <w:webHidden/>
          </w:rPr>
          <w:fldChar w:fldCharType="separate"/>
        </w:r>
        <w:r w:rsidR="00B71202">
          <w:rPr>
            <w:noProof/>
            <w:webHidden/>
          </w:rPr>
          <w:t>3</w:t>
        </w:r>
        <w:r w:rsidR="00B71202">
          <w:rPr>
            <w:noProof/>
            <w:webHidden/>
          </w:rPr>
          <w:fldChar w:fldCharType="end"/>
        </w:r>
      </w:hyperlink>
    </w:p>
    <w:p w14:paraId="13EBEDCF" w14:textId="1BF9ECD0" w:rsidR="00B71202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6078" w:history="1">
        <w:r w:rsidR="00B71202" w:rsidRPr="0012286D">
          <w:rPr>
            <w:rStyle w:val="Hyperlink"/>
            <w:noProof/>
          </w:rPr>
          <w:t>2</w:t>
        </w:r>
        <w:r w:rsidR="00B7120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71202" w:rsidRPr="0012286D">
          <w:rPr>
            <w:rStyle w:val="Hyperlink"/>
            <w:noProof/>
          </w:rPr>
          <w:t>Policy</w:t>
        </w:r>
        <w:r w:rsidR="00B71202">
          <w:rPr>
            <w:noProof/>
            <w:webHidden/>
          </w:rPr>
          <w:tab/>
        </w:r>
        <w:r w:rsidR="00B71202">
          <w:rPr>
            <w:noProof/>
            <w:webHidden/>
          </w:rPr>
          <w:fldChar w:fldCharType="begin"/>
        </w:r>
        <w:r w:rsidR="00B71202">
          <w:rPr>
            <w:noProof/>
            <w:webHidden/>
          </w:rPr>
          <w:instrText xml:space="preserve"> PAGEREF _Toc149126078 \h </w:instrText>
        </w:r>
        <w:r w:rsidR="00B71202">
          <w:rPr>
            <w:noProof/>
            <w:webHidden/>
          </w:rPr>
        </w:r>
        <w:r w:rsidR="00B71202">
          <w:rPr>
            <w:noProof/>
            <w:webHidden/>
          </w:rPr>
          <w:fldChar w:fldCharType="separate"/>
        </w:r>
        <w:r w:rsidR="00B71202">
          <w:rPr>
            <w:noProof/>
            <w:webHidden/>
          </w:rPr>
          <w:t>3</w:t>
        </w:r>
        <w:r w:rsidR="00B71202">
          <w:rPr>
            <w:noProof/>
            <w:webHidden/>
          </w:rPr>
          <w:fldChar w:fldCharType="end"/>
        </w:r>
      </w:hyperlink>
    </w:p>
    <w:p w14:paraId="5D0EE05C" w14:textId="50045CE3" w:rsidR="00B71202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6079" w:history="1">
        <w:r w:rsidR="00B71202" w:rsidRPr="0012286D">
          <w:rPr>
            <w:rStyle w:val="Hyperlink"/>
            <w:noProof/>
          </w:rPr>
          <w:t>3</w:t>
        </w:r>
        <w:r w:rsidR="00B7120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71202" w:rsidRPr="0012286D">
          <w:rPr>
            <w:rStyle w:val="Hyperlink"/>
            <w:noProof/>
          </w:rPr>
          <w:t>Procedures</w:t>
        </w:r>
        <w:r w:rsidR="00B71202">
          <w:rPr>
            <w:noProof/>
            <w:webHidden/>
          </w:rPr>
          <w:tab/>
        </w:r>
        <w:r w:rsidR="00B71202">
          <w:rPr>
            <w:noProof/>
            <w:webHidden/>
          </w:rPr>
          <w:fldChar w:fldCharType="begin"/>
        </w:r>
        <w:r w:rsidR="00B71202">
          <w:rPr>
            <w:noProof/>
            <w:webHidden/>
          </w:rPr>
          <w:instrText xml:space="preserve"> PAGEREF _Toc149126079 \h </w:instrText>
        </w:r>
        <w:r w:rsidR="00B71202">
          <w:rPr>
            <w:noProof/>
            <w:webHidden/>
          </w:rPr>
        </w:r>
        <w:r w:rsidR="00B71202">
          <w:rPr>
            <w:noProof/>
            <w:webHidden/>
          </w:rPr>
          <w:fldChar w:fldCharType="separate"/>
        </w:r>
        <w:r w:rsidR="00B71202">
          <w:rPr>
            <w:noProof/>
            <w:webHidden/>
          </w:rPr>
          <w:t>4</w:t>
        </w:r>
        <w:r w:rsidR="00B71202">
          <w:rPr>
            <w:noProof/>
            <w:webHidden/>
          </w:rPr>
          <w:fldChar w:fldCharType="end"/>
        </w:r>
      </w:hyperlink>
    </w:p>
    <w:p w14:paraId="1EC2122D" w14:textId="543D14DA" w:rsidR="00B71202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6080" w:history="1">
        <w:r w:rsidR="00B71202" w:rsidRPr="0012286D">
          <w:rPr>
            <w:rStyle w:val="Hyperlink"/>
            <w:noProof/>
          </w:rPr>
          <w:t>4</w:t>
        </w:r>
        <w:r w:rsidR="00B7120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71202" w:rsidRPr="0012286D">
          <w:rPr>
            <w:rStyle w:val="Hyperlink"/>
            <w:noProof/>
          </w:rPr>
          <w:t>Annexures</w:t>
        </w:r>
        <w:r w:rsidR="00B71202">
          <w:rPr>
            <w:noProof/>
            <w:webHidden/>
          </w:rPr>
          <w:tab/>
        </w:r>
        <w:r w:rsidR="00B71202">
          <w:rPr>
            <w:noProof/>
            <w:webHidden/>
          </w:rPr>
          <w:fldChar w:fldCharType="begin"/>
        </w:r>
        <w:r w:rsidR="00B71202">
          <w:rPr>
            <w:noProof/>
            <w:webHidden/>
          </w:rPr>
          <w:instrText xml:space="preserve"> PAGEREF _Toc149126080 \h </w:instrText>
        </w:r>
        <w:r w:rsidR="00B71202">
          <w:rPr>
            <w:noProof/>
            <w:webHidden/>
          </w:rPr>
        </w:r>
        <w:r w:rsidR="00B71202">
          <w:rPr>
            <w:noProof/>
            <w:webHidden/>
          </w:rPr>
          <w:fldChar w:fldCharType="separate"/>
        </w:r>
        <w:r w:rsidR="00B71202">
          <w:rPr>
            <w:noProof/>
            <w:webHidden/>
          </w:rPr>
          <w:t>5</w:t>
        </w:r>
        <w:r w:rsidR="00B71202">
          <w:rPr>
            <w:noProof/>
            <w:webHidden/>
          </w:rPr>
          <w:fldChar w:fldCharType="end"/>
        </w:r>
      </w:hyperlink>
    </w:p>
    <w:p w14:paraId="163FF947" w14:textId="2256F295" w:rsidR="00B71202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6081" w:history="1">
        <w:r w:rsidR="00B71202" w:rsidRPr="0012286D">
          <w:rPr>
            <w:rStyle w:val="Hyperlink"/>
            <w:noProof/>
          </w:rPr>
          <w:t>4.1</w:t>
        </w:r>
        <w:r w:rsidR="00B7120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71202" w:rsidRPr="0012286D">
          <w:rPr>
            <w:rStyle w:val="Hyperlink"/>
            <w:noProof/>
          </w:rPr>
          <w:t>Related documents</w:t>
        </w:r>
        <w:r w:rsidR="00B71202">
          <w:rPr>
            <w:noProof/>
            <w:webHidden/>
          </w:rPr>
          <w:tab/>
        </w:r>
        <w:r w:rsidR="00B71202">
          <w:rPr>
            <w:noProof/>
            <w:webHidden/>
          </w:rPr>
          <w:fldChar w:fldCharType="begin"/>
        </w:r>
        <w:r w:rsidR="00B71202">
          <w:rPr>
            <w:noProof/>
            <w:webHidden/>
          </w:rPr>
          <w:instrText xml:space="preserve"> PAGEREF _Toc149126081 \h </w:instrText>
        </w:r>
        <w:r w:rsidR="00B71202">
          <w:rPr>
            <w:noProof/>
            <w:webHidden/>
          </w:rPr>
        </w:r>
        <w:r w:rsidR="00B71202">
          <w:rPr>
            <w:noProof/>
            <w:webHidden/>
          </w:rPr>
          <w:fldChar w:fldCharType="separate"/>
        </w:r>
        <w:r w:rsidR="00B71202">
          <w:rPr>
            <w:noProof/>
            <w:webHidden/>
          </w:rPr>
          <w:t>5</w:t>
        </w:r>
        <w:r w:rsidR="00B71202">
          <w:rPr>
            <w:noProof/>
            <w:webHidden/>
          </w:rPr>
          <w:fldChar w:fldCharType="end"/>
        </w:r>
      </w:hyperlink>
    </w:p>
    <w:p w14:paraId="2F4AE3B9" w14:textId="3755C4BB" w:rsidR="00B71202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6082" w:history="1">
        <w:r w:rsidR="00B71202" w:rsidRPr="0012286D">
          <w:rPr>
            <w:rStyle w:val="Hyperlink"/>
            <w:noProof/>
          </w:rPr>
          <w:t>4.2</w:t>
        </w:r>
        <w:r w:rsidR="00B7120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71202" w:rsidRPr="0012286D">
          <w:rPr>
            <w:rStyle w:val="Hyperlink"/>
            <w:noProof/>
          </w:rPr>
          <w:t>Definitions and acronyms</w:t>
        </w:r>
        <w:r w:rsidR="00B71202">
          <w:rPr>
            <w:noProof/>
            <w:webHidden/>
          </w:rPr>
          <w:tab/>
        </w:r>
        <w:r w:rsidR="00B71202">
          <w:rPr>
            <w:noProof/>
            <w:webHidden/>
          </w:rPr>
          <w:fldChar w:fldCharType="begin"/>
        </w:r>
        <w:r w:rsidR="00B71202">
          <w:rPr>
            <w:noProof/>
            <w:webHidden/>
          </w:rPr>
          <w:instrText xml:space="preserve"> PAGEREF _Toc149126082 \h </w:instrText>
        </w:r>
        <w:r w:rsidR="00B71202">
          <w:rPr>
            <w:noProof/>
            <w:webHidden/>
          </w:rPr>
        </w:r>
        <w:r w:rsidR="00B71202">
          <w:rPr>
            <w:noProof/>
            <w:webHidden/>
          </w:rPr>
          <w:fldChar w:fldCharType="separate"/>
        </w:r>
        <w:r w:rsidR="00B71202">
          <w:rPr>
            <w:noProof/>
            <w:webHidden/>
          </w:rPr>
          <w:t>5</w:t>
        </w:r>
        <w:r w:rsidR="00B71202">
          <w:rPr>
            <w:noProof/>
            <w:webHidden/>
          </w:rPr>
          <w:fldChar w:fldCharType="end"/>
        </w:r>
      </w:hyperlink>
    </w:p>
    <w:p w14:paraId="670EFC42" w14:textId="4CAE4294" w:rsidR="00B71202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6083" w:history="1">
        <w:r w:rsidR="00B71202" w:rsidRPr="0012286D">
          <w:rPr>
            <w:rStyle w:val="Hyperlink"/>
            <w:noProof/>
          </w:rPr>
          <w:t>4.3</w:t>
        </w:r>
        <w:r w:rsidR="00B7120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71202" w:rsidRPr="0012286D">
          <w:rPr>
            <w:rStyle w:val="Hyperlink"/>
            <w:noProof/>
          </w:rPr>
          <w:t>Related legislation</w:t>
        </w:r>
        <w:r w:rsidR="00B71202">
          <w:rPr>
            <w:noProof/>
            <w:webHidden/>
          </w:rPr>
          <w:tab/>
        </w:r>
        <w:r w:rsidR="00B71202">
          <w:rPr>
            <w:noProof/>
            <w:webHidden/>
          </w:rPr>
          <w:fldChar w:fldCharType="begin"/>
        </w:r>
        <w:r w:rsidR="00B71202">
          <w:rPr>
            <w:noProof/>
            <w:webHidden/>
          </w:rPr>
          <w:instrText xml:space="preserve"> PAGEREF _Toc149126083 \h </w:instrText>
        </w:r>
        <w:r w:rsidR="00B71202">
          <w:rPr>
            <w:noProof/>
            <w:webHidden/>
          </w:rPr>
        </w:r>
        <w:r w:rsidR="00B71202">
          <w:rPr>
            <w:noProof/>
            <w:webHidden/>
          </w:rPr>
          <w:fldChar w:fldCharType="separate"/>
        </w:r>
        <w:r w:rsidR="00B71202">
          <w:rPr>
            <w:noProof/>
            <w:webHidden/>
          </w:rPr>
          <w:t>6</w:t>
        </w:r>
        <w:r w:rsidR="00B71202">
          <w:rPr>
            <w:noProof/>
            <w:webHidden/>
          </w:rPr>
          <w:fldChar w:fldCharType="end"/>
        </w:r>
      </w:hyperlink>
    </w:p>
    <w:p w14:paraId="44F057D4" w14:textId="1F73673A" w:rsidR="00B71202" w:rsidRDefault="0000000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49126084" w:history="1">
        <w:r w:rsidR="00B71202" w:rsidRPr="0012286D">
          <w:rPr>
            <w:rStyle w:val="Hyperlink"/>
            <w:noProof/>
          </w:rPr>
          <w:t>5</w:t>
        </w:r>
        <w:r w:rsidR="00B71202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B71202" w:rsidRPr="0012286D">
          <w:rPr>
            <w:rStyle w:val="Hyperlink"/>
            <w:noProof/>
          </w:rPr>
          <w:t>Assurance</w:t>
        </w:r>
        <w:r w:rsidR="00B71202">
          <w:rPr>
            <w:noProof/>
            <w:webHidden/>
          </w:rPr>
          <w:tab/>
        </w:r>
        <w:r w:rsidR="00B71202">
          <w:rPr>
            <w:noProof/>
            <w:webHidden/>
          </w:rPr>
          <w:fldChar w:fldCharType="begin"/>
        </w:r>
        <w:r w:rsidR="00B71202">
          <w:rPr>
            <w:noProof/>
            <w:webHidden/>
          </w:rPr>
          <w:instrText xml:space="preserve"> PAGEREF _Toc149126084 \h </w:instrText>
        </w:r>
        <w:r w:rsidR="00B71202">
          <w:rPr>
            <w:noProof/>
            <w:webHidden/>
          </w:rPr>
        </w:r>
        <w:r w:rsidR="00B71202">
          <w:rPr>
            <w:noProof/>
            <w:webHidden/>
          </w:rPr>
          <w:fldChar w:fldCharType="separate"/>
        </w:r>
        <w:r w:rsidR="00B71202">
          <w:rPr>
            <w:noProof/>
            <w:webHidden/>
          </w:rPr>
          <w:t>6</w:t>
        </w:r>
        <w:r w:rsidR="00B71202">
          <w:rPr>
            <w:noProof/>
            <w:webHidden/>
          </w:rPr>
          <w:fldChar w:fldCharType="end"/>
        </w:r>
      </w:hyperlink>
    </w:p>
    <w:p w14:paraId="04E25D0C" w14:textId="5366306A" w:rsidR="00634C54" w:rsidRDefault="006551E7" w:rsidP="004E571B">
      <w:r>
        <w:fldChar w:fldCharType="end"/>
      </w:r>
    </w:p>
    <w:p w14:paraId="7B185160" w14:textId="706912A3" w:rsidR="00634C54" w:rsidRDefault="00634C54">
      <w:r>
        <w:br w:type="page"/>
      </w:r>
    </w:p>
    <w:p w14:paraId="6EF6BCAB" w14:textId="77777777" w:rsidR="00C8272F" w:rsidRPr="006444FB" w:rsidRDefault="00C8272F" w:rsidP="00DD3226">
      <w:pPr>
        <w:pStyle w:val="Heading1"/>
        <w:spacing w:before="360" w:after="240"/>
      </w:pPr>
      <w:bookmarkStart w:id="0" w:name="_Toc149126077"/>
      <w:r>
        <w:lastRenderedPageBreak/>
        <w:t>Scope</w:t>
      </w:r>
      <w:bookmarkEnd w:id="0"/>
    </w:p>
    <w:p w14:paraId="15CCFF9B" w14:textId="2FD987A5" w:rsidR="002128F1" w:rsidRPr="00DD3FE2" w:rsidRDefault="003E7C04" w:rsidP="00DD3226">
      <w:pPr>
        <w:spacing w:before="360" w:after="240"/>
      </w:pPr>
      <w:r w:rsidRPr="00DD3FE2">
        <w:t>This Commi</w:t>
      </w:r>
      <w:r w:rsidR="00970D94">
        <w:t>ss</w:t>
      </w:r>
      <w:r w:rsidRPr="00DD3FE2">
        <w:t xml:space="preserve">ioner’s Operating Policy and Procedure (COPP) applies to all </w:t>
      </w:r>
      <w:r w:rsidR="00FF1083">
        <w:t xml:space="preserve">Youth </w:t>
      </w:r>
      <w:r w:rsidRPr="00DD3FE2">
        <w:t xml:space="preserve">Detention Centre </w:t>
      </w:r>
      <w:r w:rsidR="009C6A86">
        <w:t xml:space="preserve">(YDC) </w:t>
      </w:r>
      <w:r w:rsidRPr="00DD3FE2">
        <w:t>Custodial Officers and staff.</w:t>
      </w:r>
    </w:p>
    <w:p w14:paraId="1E17E708" w14:textId="7B841FCA" w:rsidR="00EC5AF1" w:rsidRDefault="00EC5AF1" w:rsidP="00DD3226">
      <w:pPr>
        <w:pStyle w:val="Heading1"/>
        <w:spacing w:before="360" w:after="240"/>
      </w:pPr>
      <w:bookmarkStart w:id="1" w:name="_Toc149126078"/>
      <w:r>
        <w:t>Policy</w:t>
      </w:r>
      <w:bookmarkEnd w:id="1"/>
      <w:r>
        <w:t xml:space="preserve"> </w:t>
      </w:r>
    </w:p>
    <w:p w14:paraId="1DDBD7B6" w14:textId="333A5CEF" w:rsidR="003E7C04" w:rsidRDefault="003E7C04" w:rsidP="00DD3226">
      <w:pPr>
        <w:spacing w:before="360" w:after="240"/>
      </w:pPr>
      <w:r w:rsidRPr="006076C3">
        <w:t>The Department</w:t>
      </w:r>
      <w:r w:rsidR="00CC32C2">
        <w:t xml:space="preserve"> of Justice (the Department)</w:t>
      </w:r>
      <w:r w:rsidRPr="006076C3">
        <w:t xml:space="preserve"> is committed to the early identification and management of </w:t>
      </w:r>
      <w:r w:rsidR="00E11E6E">
        <w:t>d</w:t>
      </w:r>
      <w:r>
        <w:t xml:space="preserve">etainees </w:t>
      </w:r>
      <w:r w:rsidRPr="006076C3">
        <w:t>in custody pr</w:t>
      </w:r>
      <w:r>
        <w:t>esenting either at</w:t>
      </w:r>
      <w:r w:rsidR="00970D94">
        <w:t xml:space="preserve"> </w:t>
      </w:r>
      <w:r>
        <w:t xml:space="preserve">risk to self, or as </w:t>
      </w:r>
      <w:r w:rsidRPr="006076C3">
        <w:t>requiring multi-disciplinary intervention</w:t>
      </w:r>
      <w:r>
        <w:t xml:space="preserve"> and a</w:t>
      </w:r>
      <w:r w:rsidR="00970D94">
        <w:t>dd</w:t>
      </w:r>
      <w:r w:rsidRPr="006076C3">
        <w:t>itional support and monitoring.</w:t>
      </w:r>
    </w:p>
    <w:p w14:paraId="15EF2634" w14:textId="77777777" w:rsidR="003E7C04" w:rsidRDefault="003E7C04" w:rsidP="00C56EBD"/>
    <w:p w14:paraId="12995E81" w14:textId="6C2A0AD6" w:rsidR="003E7C04" w:rsidRDefault="003E7C04" w:rsidP="00C56EBD">
      <w:r w:rsidRPr="00A732E9">
        <w:t xml:space="preserve">The Department’s strategies aim to provide continuity of care and consistency in terms of the identification and management of </w:t>
      </w:r>
      <w:r w:rsidR="00970D94">
        <w:t>d</w:t>
      </w:r>
      <w:r w:rsidRPr="00A732E9">
        <w:t>etainees requiring a</w:t>
      </w:r>
      <w:r w:rsidR="00970D94">
        <w:t>dd</w:t>
      </w:r>
      <w:r w:rsidRPr="00A732E9">
        <w:t xml:space="preserve">itional support and monitoring whilst in custody. </w:t>
      </w:r>
      <w:r>
        <w:t>The key elements of the Department’s policy pertain to primary, secondary and tertiary prevention strategies.</w:t>
      </w:r>
    </w:p>
    <w:p w14:paraId="20CB2487" w14:textId="77777777" w:rsidR="003E7C04" w:rsidRDefault="003E7C04" w:rsidP="00C56EBD"/>
    <w:p w14:paraId="2C450238" w14:textId="5038A08D" w:rsidR="003E7C04" w:rsidRDefault="003E7C04" w:rsidP="00C56EBD">
      <w:r>
        <w:t>Primary prevention strategies include those that are aimed at creating a physical and social environment that limits stre</w:t>
      </w:r>
      <w:r w:rsidR="00970D94">
        <w:t>ss</w:t>
      </w:r>
      <w:r>
        <w:t xml:space="preserve"> on </w:t>
      </w:r>
      <w:r w:rsidR="00970D94">
        <w:t>d</w:t>
      </w:r>
      <w:r>
        <w:t xml:space="preserve">etainees. Primary prevention strategies in place at </w:t>
      </w:r>
      <w:r w:rsidR="00C01C48">
        <w:t xml:space="preserve">the YDC </w:t>
      </w:r>
      <w:r>
        <w:t>include a comprehensive orientation proce</w:t>
      </w:r>
      <w:r w:rsidR="00970D94">
        <w:t>ss</w:t>
      </w:r>
      <w:r>
        <w:t xml:space="preserve"> for </w:t>
      </w:r>
      <w:r w:rsidR="00970D94">
        <w:t>d</w:t>
      </w:r>
      <w:r>
        <w:t xml:space="preserve">etainees, placement considerations, anti-bullying policies, a structured day and encouragement to engage in recreation and daily programs. </w:t>
      </w:r>
      <w:r w:rsidRPr="006D7D7F">
        <w:t>Staff actively engag</w:t>
      </w:r>
      <w:r>
        <w:t>ing</w:t>
      </w:r>
      <w:r w:rsidRPr="006D7D7F">
        <w:t xml:space="preserve"> with young people with the aim of building positive relationships </w:t>
      </w:r>
      <w:r>
        <w:t>is considered a critical element of primary prevention</w:t>
      </w:r>
      <w:r w:rsidRPr="006D7D7F">
        <w:t>.</w:t>
      </w:r>
      <w:r>
        <w:t xml:space="preserve"> Primary prevention strategies also incorporate staff training, including mandatory Gatekeeper Suicide Prevention Training.</w:t>
      </w:r>
    </w:p>
    <w:p w14:paraId="6E72FA81" w14:textId="77777777" w:rsidR="003E7C04" w:rsidRDefault="003E7C04" w:rsidP="00C56EBD"/>
    <w:p w14:paraId="4C0110BD" w14:textId="430E6E45" w:rsidR="003E7C04" w:rsidRDefault="003E7C04" w:rsidP="00C56EBD">
      <w:r>
        <w:t xml:space="preserve">Secondary prevention strategies are those that are designed to provide support to </w:t>
      </w:r>
      <w:r w:rsidR="00970D94">
        <w:t>d</w:t>
      </w:r>
      <w:r>
        <w:t xml:space="preserve">etainees who are at statistically higher risk of suicide or </w:t>
      </w:r>
      <w:r w:rsidR="00970D94">
        <w:t>s</w:t>
      </w:r>
      <w:r>
        <w:t xml:space="preserve">elf-harm. Secondary prevention strategies in place include the inclusion of </w:t>
      </w:r>
      <w:r w:rsidR="00970D94">
        <w:t>s</w:t>
      </w:r>
      <w:r>
        <w:t>elf-harm/suicide risk screening in the admi</w:t>
      </w:r>
      <w:r w:rsidR="00970D94">
        <w:t>ss</w:t>
      </w:r>
      <w:r>
        <w:t>ion proce</w:t>
      </w:r>
      <w:r w:rsidR="00970D94">
        <w:t>ss</w:t>
      </w:r>
      <w:r>
        <w:t>, automatic referrals for first admi</w:t>
      </w:r>
      <w:r w:rsidR="00970D94">
        <w:t>ss</w:t>
      </w:r>
      <w:r>
        <w:t>ions to Youth Justice Psychological Services</w:t>
      </w:r>
      <w:r w:rsidR="00FC1426">
        <w:t xml:space="preserve"> (YJPS)</w:t>
      </w:r>
      <w:r>
        <w:t xml:space="preserve">, and the communication of risk-relevant information to all </w:t>
      </w:r>
      <w:r w:rsidR="00970D94">
        <w:t>s</w:t>
      </w:r>
      <w:r>
        <w:t>taff via forums, such as the Self-Harm history alert, Disability flag and the A</w:t>
      </w:r>
      <w:r w:rsidR="00970D94">
        <w:t>ss</w:t>
      </w:r>
      <w:r>
        <w:t>e</w:t>
      </w:r>
      <w:r w:rsidR="00970D94">
        <w:t>ss</w:t>
      </w:r>
      <w:r>
        <w:t>ment and Planning checklist.</w:t>
      </w:r>
    </w:p>
    <w:p w14:paraId="5FEBEF76" w14:textId="77777777" w:rsidR="003E7C04" w:rsidRDefault="003E7C04" w:rsidP="00C56EBD"/>
    <w:p w14:paraId="794E62AC" w14:textId="07DAC77C" w:rsidR="003E7C04" w:rsidRDefault="003E7C04" w:rsidP="00C56EBD">
      <w:r>
        <w:t xml:space="preserve">The </w:t>
      </w:r>
      <w:r w:rsidRPr="006D7D7F">
        <w:rPr>
          <w:b/>
        </w:rPr>
        <w:t>Support and Monitoring System (SAMS)</w:t>
      </w:r>
      <w:r>
        <w:t xml:space="preserve"> would be considered a secondary prevention strategy. SAMS provides a collaborative case management system for </w:t>
      </w:r>
      <w:r w:rsidR="00E11E6E">
        <w:t>detainees</w:t>
      </w:r>
      <w:r>
        <w:t xml:space="preserve"> who are considered vulnerable and in need of multi</w:t>
      </w:r>
      <w:r w:rsidR="00E11E6E">
        <w:t>-</w:t>
      </w:r>
      <w:r>
        <w:t xml:space="preserve">disciplinary support. This may include </w:t>
      </w:r>
      <w:r w:rsidR="00E11E6E">
        <w:t>detainees</w:t>
      </w:r>
      <w:r>
        <w:t xml:space="preserve"> considered at chronic risk of suicide or non-suicide self-injury, those with significant cognitive impairment or those experiencing acute mental health i</w:t>
      </w:r>
      <w:r w:rsidR="00970D94">
        <w:t>ss</w:t>
      </w:r>
      <w:r>
        <w:t>ues.</w:t>
      </w:r>
    </w:p>
    <w:p w14:paraId="4F2C5466" w14:textId="77777777" w:rsidR="003E7C04" w:rsidRDefault="003E7C04" w:rsidP="00C56EBD"/>
    <w:p w14:paraId="16C48032" w14:textId="662F86EC" w:rsidR="003E7C04" w:rsidRPr="003E7C04" w:rsidRDefault="003E7C04" w:rsidP="00C56EBD">
      <w:r>
        <w:t xml:space="preserve">Tertiary prevention strategies are those that are aimed directly at </w:t>
      </w:r>
      <w:r w:rsidR="00970D94">
        <w:t>d</w:t>
      </w:r>
      <w:r>
        <w:t xml:space="preserve">etainees who are identified as </w:t>
      </w:r>
      <w:r w:rsidR="00970D94">
        <w:t>a</w:t>
      </w:r>
      <w:r>
        <w:t>t</w:t>
      </w:r>
      <w:r w:rsidR="00970D94">
        <w:t xml:space="preserve"> </w:t>
      </w:r>
      <w:r>
        <w:t xml:space="preserve">risk of </w:t>
      </w:r>
      <w:r w:rsidR="00970D94">
        <w:t>s</w:t>
      </w:r>
      <w:r>
        <w:t xml:space="preserve">elf-harm or suicide. Increased monitoring, the provision of psychological or mental health intervention, and/or placement in a safer environment are tertiary prevention strategies. To facilitate this, the Department has implemented the </w:t>
      </w:r>
      <w:r w:rsidRPr="004A135D">
        <w:rPr>
          <w:b/>
        </w:rPr>
        <w:t>At</w:t>
      </w:r>
      <w:r w:rsidR="00970D94">
        <w:rPr>
          <w:b/>
        </w:rPr>
        <w:t xml:space="preserve"> </w:t>
      </w:r>
      <w:r w:rsidRPr="004A135D">
        <w:rPr>
          <w:b/>
        </w:rPr>
        <w:t>Risk Management System (ARMS)</w:t>
      </w:r>
      <w:r>
        <w:t xml:space="preserve"> to provide a framework for suicide prevention, with clear procedures to a</w:t>
      </w:r>
      <w:r w:rsidR="00970D94">
        <w:t>ss</w:t>
      </w:r>
      <w:r>
        <w:t xml:space="preserve">ist </w:t>
      </w:r>
      <w:r w:rsidR="00970D94">
        <w:t>s</w:t>
      </w:r>
      <w:r>
        <w:t xml:space="preserve">taff in the identification and management of </w:t>
      </w:r>
      <w:r w:rsidR="00970D94">
        <w:t>d</w:t>
      </w:r>
      <w:r>
        <w:t>etainees at</w:t>
      </w:r>
      <w:r w:rsidR="00970D94">
        <w:t xml:space="preserve"> </w:t>
      </w:r>
      <w:r>
        <w:t>risk to self. ARMS incorporates various preventative strategies and requires a whole of centre approach.</w:t>
      </w:r>
    </w:p>
    <w:p w14:paraId="1606E970" w14:textId="77777777" w:rsidR="000755EE" w:rsidRPr="006444FB" w:rsidRDefault="008114B3" w:rsidP="00DD3226">
      <w:pPr>
        <w:pStyle w:val="Heading1"/>
        <w:spacing w:before="360" w:after="240"/>
      </w:pPr>
      <w:bookmarkStart w:id="2" w:name="_Toc149126079"/>
      <w:r>
        <w:lastRenderedPageBreak/>
        <w:t>Procedures</w:t>
      </w:r>
      <w:bookmarkEnd w:id="2"/>
    </w:p>
    <w:p w14:paraId="1A7C13AE" w14:textId="06A99DE8" w:rsidR="003E7C04" w:rsidRPr="00067E5B" w:rsidRDefault="003E7C04" w:rsidP="00067E5B">
      <w:pPr>
        <w:pStyle w:val="Heading3"/>
        <w:rPr>
          <w:color w:val="auto"/>
        </w:rPr>
      </w:pPr>
      <w:r w:rsidRPr="00067E5B">
        <w:rPr>
          <w:color w:val="auto"/>
        </w:rPr>
        <w:t xml:space="preserve">Guidelines, procedures and the role and responsibilities of </w:t>
      </w:r>
      <w:r w:rsidR="00970D94" w:rsidRPr="00067E5B">
        <w:rPr>
          <w:color w:val="auto"/>
        </w:rPr>
        <w:t>s</w:t>
      </w:r>
      <w:r w:rsidRPr="00067E5B">
        <w:rPr>
          <w:color w:val="auto"/>
        </w:rPr>
        <w:t xml:space="preserve">taff are outlined in the respective </w:t>
      </w:r>
      <w:hyperlink r:id="rId16" w:history="1">
        <w:r w:rsidRPr="00067E5B">
          <w:rPr>
            <w:rStyle w:val="Hyperlink"/>
          </w:rPr>
          <w:t>ARMS Manual – Youth Version</w:t>
        </w:r>
      </w:hyperlink>
      <w:r w:rsidRPr="00067E5B">
        <w:rPr>
          <w:color w:val="auto"/>
        </w:rPr>
        <w:t xml:space="preserve"> and </w:t>
      </w:r>
      <w:hyperlink r:id="rId17" w:history="1">
        <w:r w:rsidRPr="00067E5B">
          <w:rPr>
            <w:rStyle w:val="Hyperlink"/>
          </w:rPr>
          <w:t>SAMS Manual – Youth Version</w:t>
        </w:r>
      </w:hyperlink>
      <w:r w:rsidRPr="00067E5B">
        <w:rPr>
          <w:color w:val="auto"/>
        </w:rPr>
        <w:t xml:space="preserve">.  </w:t>
      </w:r>
    </w:p>
    <w:p w14:paraId="250BB6E8" w14:textId="193A3625" w:rsidR="003E7C04" w:rsidRPr="00CD6FF4" w:rsidRDefault="003E7C04" w:rsidP="00CD6FF4">
      <w:pPr>
        <w:pStyle w:val="Heading3"/>
      </w:pPr>
      <w:r w:rsidRPr="00CD6FF4">
        <w:t xml:space="preserve">All </w:t>
      </w:r>
      <w:r w:rsidR="00970D94">
        <w:t>s</w:t>
      </w:r>
      <w:r w:rsidRPr="00CD6FF4">
        <w:t>taff are expected to be familiar with and adhere to the requirements outlined in each of these manuals.</w:t>
      </w:r>
    </w:p>
    <w:p w14:paraId="2B82D9E6" w14:textId="14DBA613" w:rsidR="000755EE" w:rsidRPr="00CD6FF4" w:rsidRDefault="003E7C04" w:rsidP="00CD6FF4">
      <w:pPr>
        <w:pStyle w:val="Heading3"/>
      </w:pPr>
      <w:r w:rsidRPr="00CD6FF4">
        <w:t>The Deputy Commi</w:t>
      </w:r>
      <w:r w:rsidR="00970D94">
        <w:t>ss</w:t>
      </w:r>
      <w:r w:rsidRPr="00CD6FF4">
        <w:t xml:space="preserve">ioner Women and Young People, in consultation with the Superintendent and </w:t>
      </w:r>
      <w:r w:rsidR="00FC1426">
        <w:t>YJPS</w:t>
      </w:r>
      <w:r w:rsidRPr="00CD6FF4">
        <w:t>, shall approve and maintain operational procedures consistent with this policy, to be published as manuals or such other format as may be approved by the Deputy Commi</w:t>
      </w:r>
      <w:r w:rsidR="00970D94">
        <w:t>ss</w:t>
      </w:r>
      <w:r w:rsidRPr="00CD6FF4">
        <w:t xml:space="preserve">ioner. </w:t>
      </w:r>
    </w:p>
    <w:p w14:paraId="31D471FD" w14:textId="77777777" w:rsidR="003E7C04" w:rsidRPr="006444FB" w:rsidRDefault="003E7C04" w:rsidP="00592112"/>
    <w:p w14:paraId="55EE160F" w14:textId="30E477AA" w:rsidR="003D708E" w:rsidRDefault="003D708E" w:rsidP="00DF778C"/>
    <w:p w14:paraId="47CF8648" w14:textId="21BA43E5" w:rsidR="00C01C48" w:rsidRDefault="00C01C48" w:rsidP="00DF778C"/>
    <w:p w14:paraId="01CB6CAE" w14:textId="50FA292C" w:rsidR="00C01C48" w:rsidRDefault="00C01C48" w:rsidP="00DF778C"/>
    <w:p w14:paraId="280A51F4" w14:textId="390F4F05" w:rsidR="00C01C48" w:rsidRDefault="00C01C48" w:rsidP="00DF778C"/>
    <w:p w14:paraId="1B5757E6" w14:textId="0A029833" w:rsidR="00C01C48" w:rsidRDefault="00C01C48" w:rsidP="00DF778C"/>
    <w:p w14:paraId="20958E5B" w14:textId="1ECB1944" w:rsidR="00C01C48" w:rsidRDefault="00C01C48" w:rsidP="00DF778C"/>
    <w:p w14:paraId="7094FB33" w14:textId="577416D1" w:rsidR="00C01C48" w:rsidRDefault="00C01C48" w:rsidP="00DF778C"/>
    <w:p w14:paraId="1B9C2ACC" w14:textId="470632B6" w:rsidR="00C01C48" w:rsidRDefault="00C01C48" w:rsidP="00DF778C"/>
    <w:p w14:paraId="53D4472F" w14:textId="4EAC5546" w:rsidR="00C01C48" w:rsidRDefault="00C01C48" w:rsidP="00DF778C"/>
    <w:p w14:paraId="44502C35" w14:textId="5831825B" w:rsidR="00C01C48" w:rsidRDefault="00C01C48" w:rsidP="00DF778C"/>
    <w:p w14:paraId="7E62C402" w14:textId="3805C29F" w:rsidR="00C01C48" w:rsidRDefault="00C01C48" w:rsidP="00DF778C"/>
    <w:p w14:paraId="50082235" w14:textId="794992FE" w:rsidR="00C01C48" w:rsidRDefault="00C01C48" w:rsidP="00DF778C"/>
    <w:p w14:paraId="16991AA1" w14:textId="548DD823" w:rsidR="00C01C48" w:rsidRDefault="00C01C48" w:rsidP="00DF778C"/>
    <w:p w14:paraId="60A98F21" w14:textId="01ACBF2A" w:rsidR="00C01C48" w:rsidRDefault="00C01C48" w:rsidP="00DF778C"/>
    <w:p w14:paraId="5B2E5FC9" w14:textId="0980D617" w:rsidR="00C01C48" w:rsidRDefault="00C01C48" w:rsidP="00DF778C"/>
    <w:p w14:paraId="2EA1DA3E" w14:textId="759F534C" w:rsidR="00C01C48" w:rsidRDefault="00C01C48" w:rsidP="00DF778C"/>
    <w:p w14:paraId="7C4B8869" w14:textId="6AA5BB6C" w:rsidR="00C01C48" w:rsidRDefault="00C01C48" w:rsidP="00DF778C"/>
    <w:p w14:paraId="7313FC1E" w14:textId="5171483A" w:rsidR="00C01C48" w:rsidRDefault="00C01C48" w:rsidP="00DF778C"/>
    <w:p w14:paraId="01ECB90F" w14:textId="34654E9B" w:rsidR="00C01C48" w:rsidRDefault="00C01C48" w:rsidP="00DF778C"/>
    <w:p w14:paraId="2D855FBC" w14:textId="0D18C925" w:rsidR="00C01C48" w:rsidRDefault="00C01C48" w:rsidP="00DF778C"/>
    <w:p w14:paraId="0AE94425" w14:textId="1003338C" w:rsidR="00C01C48" w:rsidRDefault="00C01C48" w:rsidP="00DF778C"/>
    <w:p w14:paraId="65DD334F" w14:textId="607134AD" w:rsidR="00C01C48" w:rsidRDefault="00C01C48" w:rsidP="00DF778C"/>
    <w:p w14:paraId="71FEBA32" w14:textId="71F1336C" w:rsidR="00C01C48" w:rsidRDefault="00C01C48" w:rsidP="00DF778C"/>
    <w:p w14:paraId="4D4EBC21" w14:textId="42E959E0" w:rsidR="00C01C48" w:rsidRDefault="00C01C48" w:rsidP="00DF778C"/>
    <w:p w14:paraId="0D29B8F3" w14:textId="21CE6A74" w:rsidR="00C01C48" w:rsidRDefault="00C01C48" w:rsidP="00DF778C"/>
    <w:p w14:paraId="06D69586" w14:textId="28104CD7" w:rsidR="00C01C48" w:rsidRDefault="00C01C48" w:rsidP="00DF778C"/>
    <w:p w14:paraId="1460AD33" w14:textId="448CF7C2" w:rsidR="00C01C48" w:rsidRDefault="00C01C48" w:rsidP="00DF778C"/>
    <w:p w14:paraId="6F099601" w14:textId="56D29DEB" w:rsidR="00C01C48" w:rsidRDefault="00C01C48" w:rsidP="00DF778C"/>
    <w:p w14:paraId="6901267F" w14:textId="77777777" w:rsidR="00C01C48" w:rsidRDefault="00C01C48" w:rsidP="00DF778C"/>
    <w:p w14:paraId="5A7E35AD" w14:textId="3802C79A" w:rsidR="003E7C04" w:rsidRPr="003D708E" w:rsidRDefault="003D708E" w:rsidP="002128F1">
      <w:pPr>
        <w:pStyle w:val="Heading1"/>
        <w:spacing w:before="200"/>
      </w:pPr>
      <w:bookmarkStart w:id="3" w:name="_Toc149126080"/>
      <w:r>
        <w:lastRenderedPageBreak/>
        <w:t>Annexures</w:t>
      </w:r>
      <w:bookmarkEnd w:id="3"/>
    </w:p>
    <w:p w14:paraId="5A6BE921" w14:textId="23DAD9E7" w:rsidR="00AA4B67" w:rsidRPr="002128F1" w:rsidRDefault="003D708E" w:rsidP="002128F1">
      <w:pPr>
        <w:pStyle w:val="Heading2"/>
        <w:spacing w:before="200"/>
        <w:rPr>
          <w:rStyle w:val="Hyperlink"/>
          <w:color w:val="000000" w:themeColor="text1"/>
          <w:u w:val="none"/>
        </w:rPr>
      </w:pPr>
      <w:bookmarkStart w:id="4" w:name="_Toc149126081"/>
      <w:r>
        <w:t>Related documents</w:t>
      </w:r>
      <w:bookmarkEnd w:id="4"/>
    </w:p>
    <w:p w14:paraId="1689DAEC" w14:textId="0FA565C4" w:rsidR="00AA4B67" w:rsidRDefault="00000000" w:rsidP="00AA4B67">
      <w:pPr>
        <w:pStyle w:val="ListBullet"/>
      </w:pPr>
      <w:hyperlink r:id="rId18" w:history="1">
        <w:r w:rsidR="00AA4B67" w:rsidRPr="003F5D78">
          <w:rPr>
            <w:rStyle w:val="Hyperlink"/>
          </w:rPr>
          <w:t>At Risk Management System (ARMS) Manual – Youth Version</w:t>
        </w:r>
      </w:hyperlink>
    </w:p>
    <w:p w14:paraId="41A04B74" w14:textId="1D040C7A" w:rsidR="00AA4B67" w:rsidRPr="006D7D7F" w:rsidRDefault="00000000" w:rsidP="00AA4B67">
      <w:pPr>
        <w:pStyle w:val="ListBullet"/>
      </w:pPr>
      <w:hyperlink r:id="rId19" w:history="1">
        <w:r w:rsidR="00AA4B67" w:rsidRPr="003F5D78">
          <w:rPr>
            <w:rStyle w:val="Hyperlink"/>
          </w:rPr>
          <w:t>SAMS Manual – Youth Version</w:t>
        </w:r>
      </w:hyperlink>
    </w:p>
    <w:p w14:paraId="3D7B7210" w14:textId="58C29F3C" w:rsidR="00AA4B67" w:rsidRPr="006D7D7F" w:rsidRDefault="00000000" w:rsidP="00AA4B67">
      <w:pPr>
        <w:pStyle w:val="ListBullet"/>
      </w:pPr>
      <w:hyperlink r:id="rId20" w:history="1">
        <w:r w:rsidR="00AA4B67" w:rsidRPr="00BB5EFA">
          <w:rPr>
            <w:rStyle w:val="Hyperlink"/>
          </w:rPr>
          <w:t>BH</w:t>
        </w:r>
        <w:r w:rsidR="00B71202">
          <w:rPr>
            <w:rStyle w:val="Hyperlink"/>
          </w:rPr>
          <w:t>Y</w:t>
        </w:r>
        <w:r w:rsidR="00AA4B67" w:rsidRPr="00BB5EFA">
          <w:rPr>
            <w:rStyle w:val="Hyperlink"/>
          </w:rPr>
          <w:t>DC Emergency Management Plan</w:t>
        </w:r>
      </w:hyperlink>
    </w:p>
    <w:p w14:paraId="47B114DA" w14:textId="35CB4E1C" w:rsidR="003E7C04" w:rsidRPr="003D708E" w:rsidRDefault="00000000" w:rsidP="003D708E">
      <w:pPr>
        <w:pStyle w:val="ListBullet"/>
      </w:pPr>
      <w:hyperlink r:id="rId21" w:history="1">
        <w:r w:rsidR="00AA4B67" w:rsidRPr="003F5D78">
          <w:rPr>
            <w:rStyle w:val="Hyperlink"/>
          </w:rPr>
          <w:t>Australasian Youth Justice Administrators Standards, 2009</w:t>
        </w:r>
      </w:hyperlink>
    </w:p>
    <w:p w14:paraId="47011DEC" w14:textId="4FEDFDCA" w:rsidR="003D708E" w:rsidRDefault="003D708E" w:rsidP="003D708E">
      <w:pPr>
        <w:pStyle w:val="Heading2"/>
      </w:pPr>
      <w:bookmarkStart w:id="5" w:name="_Toc149126082"/>
      <w:r>
        <w:t>Definitions and acronyms</w:t>
      </w:r>
      <w:bookmarkEnd w:id="5"/>
    </w:p>
    <w:p w14:paraId="5E4601D9" w14:textId="77777777" w:rsidR="003E7C04" w:rsidRPr="003D708E" w:rsidRDefault="003E7C04" w:rsidP="003D708E"/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5"/>
        <w:gridCol w:w="7053"/>
      </w:tblGrid>
      <w:tr w:rsidR="003D708E" w:rsidRPr="000E6F0A" w14:paraId="262EA8FD" w14:textId="77777777" w:rsidTr="00AA4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5" w:type="dxa"/>
          </w:tcPr>
          <w:p w14:paraId="10E5CFDD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7053" w:type="dxa"/>
          </w:tcPr>
          <w:p w14:paraId="5B63FEB1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AA4B67" w14:paraId="1AB72E52" w14:textId="77777777" w:rsidTr="00AA4B67">
        <w:tc>
          <w:tcPr>
            <w:tcW w:w="2115" w:type="dxa"/>
          </w:tcPr>
          <w:p w14:paraId="5B5C956F" w14:textId="18223EE0" w:rsidR="00AA4B67" w:rsidRPr="005435AD" w:rsidRDefault="00AA4B67" w:rsidP="00AA4B67">
            <w:pPr>
              <w:pStyle w:val="Tabledata"/>
              <w:rPr>
                <w:b/>
              </w:rPr>
            </w:pPr>
            <w:r w:rsidRPr="009716DC">
              <w:t>At-risk</w:t>
            </w:r>
          </w:p>
        </w:tc>
        <w:tc>
          <w:tcPr>
            <w:tcW w:w="7053" w:type="dxa"/>
          </w:tcPr>
          <w:p w14:paraId="09DDBD63" w14:textId="61689FEA" w:rsidR="00AA4B67" w:rsidRPr="00344FBE" w:rsidRDefault="00AA4B67" w:rsidP="00AA4B67">
            <w:pPr>
              <w:pStyle w:val="Tabledata"/>
            </w:pPr>
            <w:r w:rsidRPr="00373D1F">
              <w:t xml:space="preserve">Refers to a </w:t>
            </w:r>
            <w:r w:rsidR="00970D94">
              <w:t>d</w:t>
            </w:r>
            <w:r w:rsidRPr="00373D1F">
              <w:t xml:space="preserve">etainee identified as at potential acute risk of </w:t>
            </w:r>
            <w:r w:rsidR="00E11E6E">
              <w:t>s</w:t>
            </w:r>
            <w:r w:rsidRPr="00373D1F">
              <w:t>elf-harm or suicide</w:t>
            </w:r>
            <w:r>
              <w:t>.</w:t>
            </w:r>
          </w:p>
        </w:tc>
      </w:tr>
      <w:tr w:rsidR="00AA4B67" w14:paraId="14B78F10" w14:textId="77777777" w:rsidTr="00AA4B67">
        <w:tc>
          <w:tcPr>
            <w:tcW w:w="2115" w:type="dxa"/>
          </w:tcPr>
          <w:p w14:paraId="12F7EC7B" w14:textId="316A7B3F" w:rsidR="00AA4B67" w:rsidRPr="005435AD" w:rsidRDefault="00AA4B67" w:rsidP="00AA4B67">
            <w:pPr>
              <w:pStyle w:val="Tabledata"/>
              <w:rPr>
                <w:b/>
              </w:rPr>
            </w:pPr>
            <w:r w:rsidRPr="00D53601">
              <w:t>Commi</w:t>
            </w:r>
            <w:r w:rsidR="00970D94">
              <w:t>s</w:t>
            </w:r>
            <w:r w:rsidR="00D7441A">
              <w:t>s</w:t>
            </w:r>
            <w:r w:rsidRPr="00D53601">
              <w:t>ioner’s Operati</w:t>
            </w:r>
            <w:r>
              <w:t xml:space="preserve">ng </w:t>
            </w:r>
            <w:r w:rsidRPr="00D53601">
              <w:t>Policy and Procedure (COPP)</w:t>
            </w:r>
          </w:p>
        </w:tc>
        <w:tc>
          <w:tcPr>
            <w:tcW w:w="7053" w:type="dxa"/>
          </w:tcPr>
          <w:p w14:paraId="4C37D372" w14:textId="7EB9523A" w:rsidR="00AA4B67" w:rsidRPr="00344FBE" w:rsidRDefault="00AA4B67" w:rsidP="00AA4B67">
            <w:pPr>
              <w:pStyle w:val="Tabledata"/>
            </w:pPr>
            <w:r w:rsidRPr="00D53601">
              <w:t xml:space="preserve">Operational Instruments that provide instructions to </w:t>
            </w:r>
            <w:r w:rsidR="00970D94">
              <w:t>s</w:t>
            </w:r>
            <w:r w:rsidRPr="00D53601">
              <w:t>taff how the relevant legislative requirements are implemented.</w:t>
            </w:r>
          </w:p>
        </w:tc>
      </w:tr>
      <w:tr w:rsidR="009C6A86" w14:paraId="7E798385" w14:textId="77777777" w:rsidTr="00AA4B67">
        <w:tc>
          <w:tcPr>
            <w:tcW w:w="2115" w:type="dxa"/>
          </w:tcPr>
          <w:p w14:paraId="48274465" w14:textId="0EB040E5" w:rsidR="009C6A86" w:rsidRPr="00D53601" w:rsidRDefault="009C6A86" w:rsidP="00AA4B67">
            <w:pPr>
              <w:pStyle w:val="Tabledata"/>
            </w:pPr>
            <w:r w:rsidRPr="008C5897">
              <w:t>Custodial Officer</w:t>
            </w:r>
          </w:p>
        </w:tc>
        <w:tc>
          <w:tcPr>
            <w:tcW w:w="7053" w:type="dxa"/>
          </w:tcPr>
          <w:p w14:paraId="2577C2D1" w14:textId="4BFF1E5D" w:rsidR="009C6A86" w:rsidRPr="00D53601" w:rsidRDefault="009C6A86" w:rsidP="00AA4B67">
            <w:pPr>
              <w:pStyle w:val="Tabledata"/>
            </w:pPr>
            <w:r>
              <w:t xml:space="preserve">An Officer with custodial functions, appointed under s.11(1) of the </w:t>
            </w:r>
            <w:r>
              <w:rPr>
                <w:i/>
                <w:iCs/>
              </w:rPr>
              <w:t>Young Offenders Act 1994</w:t>
            </w:r>
            <w:r>
              <w:t>; or a person who is appointed under s. 11(1a)(a) as a Custodial Officer. This includes but is not limited to Youth Custodial Officers, Unit Managers and Senior Officers.</w:t>
            </w:r>
          </w:p>
        </w:tc>
      </w:tr>
      <w:tr w:rsidR="00AA4B67" w14:paraId="15CB6F21" w14:textId="77777777" w:rsidTr="00AA4B67">
        <w:tc>
          <w:tcPr>
            <w:tcW w:w="2115" w:type="dxa"/>
          </w:tcPr>
          <w:p w14:paraId="0ADF8EA6" w14:textId="0E785622" w:rsidR="00AA4B67" w:rsidRPr="005435AD" w:rsidRDefault="00AA4B67" w:rsidP="00AA4B67">
            <w:pPr>
              <w:pStyle w:val="Tabledata"/>
              <w:rPr>
                <w:b/>
              </w:rPr>
            </w:pPr>
            <w:r w:rsidRPr="00D53601">
              <w:t>Detainee</w:t>
            </w:r>
          </w:p>
        </w:tc>
        <w:tc>
          <w:tcPr>
            <w:tcW w:w="7053" w:type="dxa"/>
          </w:tcPr>
          <w:p w14:paraId="3D703C70" w14:textId="398CFE24" w:rsidR="00AA4B67" w:rsidRPr="00344FBE" w:rsidRDefault="00AA4B67" w:rsidP="00AA4B67">
            <w:pPr>
              <w:pStyle w:val="Tabledata"/>
            </w:pPr>
            <w:r w:rsidRPr="00B87789">
              <w:t>Means a person who is detained in a detention centre as defined in s</w:t>
            </w:r>
            <w:r>
              <w:t>.</w:t>
            </w:r>
            <w:r w:rsidRPr="00B87789">
              <w:t xml:space="preserve">3 of the </w:t>
            </w:r>
            <w:r w:rsidRPr="00B87789">
              <w:rPr>
                <w:i/>
              </w:rPr>
              <w:t>Young Offenders Act 1994</w:t>
            </w:r>
            <w:r w:rsidRPr="00B87789">
              <w:t>.</w:t>
            </w:r>
          </w:p>
        </w:tc>
      </w:tr>
      <w:tr w:rsidR="00AA4B67" w14:paraId="56118E1F" w14:textId="77777777" w:rsidTr="00AA4B67">
        <w:tc>
          <w:tcPr>
            <w:tcW w:w="2115" w:type="dxa"/>
          </w:tcPr>
          <w:p w14:paraId="206EFECD" w14:textId="70FE6FDC" w:rsidR="00AA4B67" w:rsidRPr="005435AD" w:rsidRDefault="00AA4B67" w:rsidP="00AA4B67">
            <w:pPr>
              <w:pStyle w:val="Tabledata"/>
              <w:rPr>
                <w:b/>
              </w:rPr>
            </w:pPr>
            <w:r w:rsidRPr="00CB652D">
              <w:t>Department</w:t>
            </w:r>
          </w:p>
        </w:tc>
        <w:tc>
          <w:tcPr>
            <w:tcW w:w="7053" w:type="dxa"/>
          </w:tcPr>
          <w:p w14:paraId="5D31AEF3" w14:textId="3F343B40" w:rsidR="00AA4B67" w:rsidRPr="00344FBE" w:rsidRDefault="00AA4B67" w:rsidP="00AA4B67">
            <w:pPr>
              <w:pStyle w:val="Tabledata"/>
            </w:pPr>
            <w:r w:rsidRPr="00CB652D">
              <w:t>The department of the Public Service principally a</w:t>
            </w:r>
            <w:r w:rsidR="00970D94">
              <w:t>s</w:t>
            </w:r>
            <w:r w:rsidR="00461D26">
              <w:t>s</w:t>
            </w:r>
            <w:r w:rsidRPr="00CB652D">
              <w:t xml:space="preserve">isting the Minister in the administration of the </w:t>
            </w:r>
            <w:r w:rsidRPr="00CB652D">
              <w:rPr>
                <w:i/>
              </w:rPr>
              <w:t>Young Offenders Act 1994.</w:t>
            </w:r>
          </w:p>
        </w:tc>
      </w:tr>
      <w:tr w:rsidR="00AA4B67" w14:paraId="6021A6DA" w14:textId="77777777" w:rsidTr="00AA4B67">
        <w:tc>
          <w:tcPr>
            <w:tcW w:w="2115" w:type="dxa"/>
          </w:tcPr>
          <w:p w14:paraId="7A8DE3BA" w14:textId="2CD72D30" w:rsidR="00AA4B67" w:rsidRPr="005435AD" w:rsidRDefault="00AA4B67" w:rsidP="00AA4B67">
            <w:pPr>
              <w:pStyle w:val="Tabledata"/>
              <w:rPr>
                <w:b/>
              </w:rPr>
            </w:pPr>
            <w:r>
              <w:t>Detention Offence</w:t>
            </w:r>
          </w:p>
        </w:tc>
        <w:tc>
          <w:tcPr>
            <w:tcW w:w="7053" w:type="dxa"/>
          </w:tcPr>
          <w:p w14:paraId="30665041" w14:textId="55ED4328" w:rsidR="00AA4B67" w:rsidRPr="00344FBE" w:rsidRDefault="00AA4B67" w:rsidP="00AA4B67">
            <w:pPr>
              <w:pStyle w:val="Tabledata"/>
            </w:pPr>
            <w:r>
              <w:t xml:space="preserve">In accordance with s. 170 of the </w:t>
            </w:r>
            <w:r w:rsidRPr="00C46792">
              <w:rPr>
                <w:i/>
              </w:rPr>
              <w:t>Young Offender</w:t>
            </w:r>
            <w:r>
              <w:rPr>
                <w:i/>
              </w:rPr>
              <w:t>s</w:t>
            </w:r>
            <w:r w:rsidRPr="00C46792">
              <w:rPr>
                <w:i/>
              </w:rPr>
              <w:t xml:space="preserve"> Act 1994</w:t>
            </w:r>
            <w:r>
              <w:t>.</w:t>
            </w:r>
          </w:p>
        </w:tc>
      </w:tr>
      <w:tr w:rsidR="00AA4B67" w14:paraId="780F7292" w14:textId="77777777" w:rsidTr="00AA4B67">
        <w:tc>
          <w:tcPr>
            <w:tcW w:w="2115" w:type="dxa"/>
          </w:tcPr>
          <w:p w14:paraId="590D328D" w14:textId="08775503" w:rsidR="00AA4B67" w:rsidRPr="005435AD" w:rsidRDefault="00AA4B67" w:rsidP="00AA4B67">
            <w:pPr>
              <w:pStyle w:val="Tabledata"/>
              <w:rPr>
                <w:b/>
              </w:rPr>
            </w:pPr>
            <w:r w:rsidRPr="00674A54">
              <w:t>Officers and Employees of Particular Cla</w:t>
            </w:r>
            <w:r w:rsidR="00970D94">
              <w:t>s</w:t>
            </w:r>
            <w:r w:rsidR="00D7441A">
              <w:t>s</w:t>
            </w:r>
            <w:r w:rsidRPr="00674A54">
              <w:t>es</w:t>
            </w:r>
          </w:p>
        </w:tc>
        <w:tc>
          <w:tcPr>
            <w:tcW w:w="7053" w:type="dxa"/>
          </w:tcPr>
          <w:p w14:paraId="2A3FDA4F" w14:textId="05DE43B4" w:rsidR="00AA4B67" w:rsidRPr="00674A54" w:rsidRDefault="00AA4B67" w:rsidP="00AA4B67">
            <w:pPr>
              <w:pStyle w:val="Tabledata"/>
            </w:pPr>
            <w:r w:rsidRPr="00674A54">
              <w:t>The following descriptions of cla</w:t>
            </w:r>
            <w:r w:rsidR="00D7441A">
              <w:t>s</w:t>
            </w:r>
            <w:r w:rsidR="00970D94">
              <w:t>s</w:t>
            </w:r>
            <w:r w:rsidRPr="00674A54">
              <w:t>es of officers and employees are prescribed for the purpose of s</w:t>
            </w:r>
            <w:r>
              <w:t>.</w:t>
            </w:r>
            <w:r w:rsidRPr="00674A54">
              <w:t xml:space="preserve"> 11(1a)(b) of the </w:t>
            </w:r>
            <w:r w:rsidRPr="00674A54">
              <w:rPr>
                <w:i/>
              </w:rPr>
              <w:t>Young Offenders Act 1994</w:t>
            </w:r>
            <w:r w:rsidRPr="00674A54">
              <w:t xml:space="preserve">, in </w:t>
            </w:r>
            <w:r w:rsidR="00CC32C2">
              <w:t>r.</w:t>
            </w:r>
            <w:r w:rsidRPr="00674A54">
              <w:t xml:space="preserve">49(2) of the </w:t>
            </w:r>
            <w:r w:rsidRPr="00674A54">
              <w:rPr>
                <w:i/>
              </w:rPr>
              <w:t>Young Offender Regulations 1995</w:t>
            </w:r>
            <w:r w:rsidRPr="00674A54">
              <w:t>:</w:t>
            </w:r>
          </w:p>
          <w:p w14:paraId="6EA6D31A" w14:textId="280177FA" w:rsidR="00AA4B67" w:rsidRDefault="00AA4B67" w:rsidP="00AA4B67">
            <w:pPr>
              <w:pStyle w:val="Tabledata"/>
            </w:pPr>
            <w:r>
              <w:t xml:space="preserve">a) </w:t>
            </w:r>
            <w:r w:rsidRPr="00674A54">
              <w:t>Medical staff persons who have undergone medical, nursing or health training and hold qualifications indicating succe</w:t>
            </w:r>
            <w:r w:rsidR="00970D94">
              <w:t>s</w:t>
            </w:r>
            <w:r w:rsidR="00D7441A">
              <w:t>s</w:t>
            </w:r>
            <w:r w:rsidRPr="00674A54">
              <w:t>ful completion of that training.</w:t>
            </w:r>
          </w:p>
          <w:p w14:paraId="10FD7473" w14:textId="77777777" w:rsidR="00AA4B67" w:rsidRPr="003F0426" w:rsidRDefault="00AA4B67" w:rsidP="00AA4B67">
            <w:pPr>
              <w:pStyle w:val="Tabledata"/>
            </w:pPr>
            <w:r w:rsidRPr="003F0426">
              <w:t>b) Teaching staff persons who provide recreation or sports supervision, teachers, vocational trainers and social trainers.</w:t>
            </w:r>
          </w:p>
          <w:p w14:paraId="666917BF" w14:textId="77777777" w:rsidR="00AA4B67" w:rsidRPr="003F0426" w:rsidRDefault="00AA4B67" w:rsidP="00AA4B67">
            <w:pPr>
              <w:pStyle w:val="Tabledata"/>
            </w:pPr>
            <w:r w:rsidRPr="003F0426">
              <w:t>c) Program support staff counsellors, program facilitators and librarians.</w:t>
            </w:r>
          </w:p>
          <w:p w14:paraId="6A591F37" w14:textId="6DB26F42" w:rsidR="00AA4B67" w:rsidRPr="00344FBE" w:rsidRDefault="00AA4B67" w:rsidP="00AA4B67">
            <w:pPr>
              <w:pStyle w:val="Tabledata"/>
            </w:pPr>
            <w:r w:rsidRPr="003F0426">
              <w:t>d) Centre support staff cleaning staff, laundry staff, gardening staff, vehicle driving staff, maintenance staff and hairdre</w:t>
            </w:r>
            <w:r w:rsidR="00970D94">
              <w:t>s</w:t>
            </w:r>
            <w:r w:rsidR="00D7441A">
              <w:t>s</w:t>
            </w:r>
            <w:r w:rsidRPr="003F0426">
              <w:t>ers.</w:t>
            </w:r>
          </w:p>
        </w:tc>
      </w:tr>
      <w:tr w:rsidR="00AA4B67" w14:paraId="690C9481" w14:textId="77777777" w:rsidTr="00AA4B67">
        <w:tc>
          <w:tcPr>
            <w:tcW w:w="2115" w:type="dxa"/>
          </w:tcPr>
          <w:p w14:paraId="52B1C41D" w14:textId="315CC2DD" w:rsidR="00AA4B67" w:rsidRPr="005435AD" w:rsidRDefault="00AA4B67" w:rsidP="00AA4B67">
            <w:pPr>
              <w:pStyle w:val="Tabledata"/>
              <w:rPr>
                <w:b/>
              </w:rPr>
            </w:pPr>
            <w:r>
              <w:t>Self-Harm</w:t>
            </w:r>
          </w:p>
        </w:tc>
        <w:tc>
          <w:tcPr>
            <w:tcW w:w="7053" w:type="dxa"/>
          </w:tcPr>
          <w:p w14:paraId="08BD810D" w14:textId="4EAC5820" w:rsidR="00AA4B67" w:rsidRPr="00344FBE" w:rsidRDefault="00AA4B67" w:rsidP="00AA4B67">
            <w:pPr>
              <w:pStyle w:val="Tabledata"/>
            </w:pPr>
            <w:r>
              <w:t>The practice of deliberately harming oneself without the intention to die.</w:t>
            </w:r>
          </w:p>
        </w:tc>
      </w:tr>
      <w:tr w:rsidR="00AA4B67" w14:paraId="04413723" w14:textId="77777777" w:rsidTr="00AA4B67">
        <w:tc>
          <w:tcPr>
            <w:tcW w:w="2115" w:type="dxa"/>
          </w:tcPr>
          <w:p w14:paraId="3E132E14" w14:textId="30A3BFDE" w:rsidR="00AA4B67" w:rsidRPr="005435AD" w:rsidRDefault="00AA4B67" w:rsidP="00AA4B67">
            <w:pPr>
              <w:pStyle w:val="Tabledata"/>
              <w:rPr>
                <w:b/>
              </w:rPr>
            </w:pPr>
            <w:r w:rsidRPr="008C5897">
              <w:t>Staff</w:t>
            </w:r>
          </w:p>
        </w:tc>
        <w:tc>
          <w:tcPr>
            <w:tcW w:w="7053" w:type="dxa"/>
          </w:tcPr>
          <w:p w14:paraId="00DB9DCB" w14:textId="7F1D5170" w:rsidR="00AA4B67" w:rsidRPr="00344FBE" w:rsidRDefault="00AA4B67" w:rsidP="00AA4B67">
            <w:pPr>
              <w:pStyle w:val="Tabledata"/>
            </w:pPr>
            <w:r w:rsidRPr="008C5897">
              <w:t xml:space="preserve">Any employee or officer of the Department of Justice, including a Public Service Officer, Youth Custodial Officer or an employee </w:t>
            </w:r>
            <w:r w:rsidRPr="008C5897">
              <w:lastRenderedPageBreak/>
              <w:t>of a particular cla</w:t>
            </w:r>
            <w:r w:rsidR="00970D94">
              <w:t>s</w:t>
            </w:r>
            <w:r w:rsidR="00D7441A">
              <w:t>s</w:t>
            </w:r>
            <w:r w:rsidRPr="008C5897">
              <w:t>; and any contractor who provides services to the Department of Justice.</w:t>
            </w:r>
          </w:p>
        </w:tc>
      </w:tr>
      <w:tr w:rsidR="00AA4B67" w14:paraId="75E3443A" w14:textId="77777777" w:rsidTr="00AA4B67">
        <w:tc>
          <w:tcPr>
            <w:tcW w:w="2115" w:type="dxa"/>
          </w:tcPr>
          <w:p w14:paraId="70663247" w14:textId="65F46C18" w:rsidR="00AA4B67" w:rsidRPr="005435AD" w:rsidRDefault="00AA4B67" w:rsidP="00AA4B67">
            <w:pPr>
              <w:pStyle w:val="Tabledata"/>
              <w:rPr>
                <w:b/>
              </w:rPr>
            </w:pPr>
            <w:r w:rsidRPr="008C5897">
              <w:lastRenderedPageBreak/>
              <w:t>Superintendent</w:t>
            </w:r>
          </w:p>
        </w:tc>
        <w:tc>
          <w:tcPr>
            <w:tcW w:w="7053" w:type="dxa"/>
          </w:tcPr>
          <w:p w14:paraId="1BA3CC59" w14:textId="343CBBD3" w:rsidR="00AA4B67" w:rsidRPr="00344FBE" w:rsidRDefault="00AA4B67" w:rsidP="00AA4B67">
            <w:pPr>
              <w:pStyle w:val="Tabledata"/>
            </w:pPr>
            <w:r w:rsidRPr="008C5897">
              <w:t>In accordance with s</w:t>
            </w:r>
            <w:r>
              <w:t>.</w:t>
            </w:r>
            <w:r w:rsidRPr="008C5897">
              <w:t xml:space="preserve"> 3 of the </w:t>
            </w:r>
            <w:r w:rsidRPr="008C5897">
              <w:rPr>
                <w:i/>
              </w:rPr>
              <w:t>Young Offenders Act 1994, ‘</w:t>
            </w:r>
            <w:r w:rsidRPr="008C5897">
              <w:t>The person in charge of a detention centre</w:t>
            </w:r>
            <w:r w:rsidR="00E11E6E">
              <w:t>’</w:t>
            </w:r>
            <w:r w:rsidRPr="008C5897">
              <w:t>.</w:t>
            </w:r>
          </w:p>
        </w:tc>
      </w:tr>
      <w:tr w:rsidR="009C6A86" w14:paraId="333ED9BB" w14:textId="77777777" w:rsidTr="00AA4B67">
        <w:tc>
          <w:tcPr>
            <w:tcW w:w="2115" w:type="dxa"/>
          </w:tcPr>
          <w:p w14:paraId="6B2BB006" w14:textId="27A475AD" w:rsidR="009C6A86" w:rsidRPr="008C5897" w:rsidRDefault="009C6A86" w:rsidP="00AA4B67">
            <w:pPr>
              <w:pStyle w:val="Tabledata"/>
            </w:pPr>
            <w:r>
              <w:t>Youth Detention Centre</w:t>
            </w:r>
          </w:p>
        </w:tc>
        <w:tc>
          <w:tcPr>
            <w:tcW w:w="7053" w:type="dxa"/>
          </w:tcPr>
          <w:p w14:paraId="060CC71A" w14:textId="7C36F6F0" w:rsidR="009C6A86" w:rsidRPr="009C6A86" w:rsidRDefault="009C6A86" w:rsidP="000B4C76">
            <w:pPr>
              <w:pStyle w:val="ListParagraph"/>
              <w:ind w:left="0" w:hanging="77"/>
              <w:rPr>
                <w:rFonts w:cs="Arial"/>
              </w:rPr>
            </w:pPr>
            <w:r w:rsidRPr="00F33B91">
              <w:rPr>
                <w:rFonts w:cs="Arial"/>
              </w:rPr>
              <w:t xml:space="preserve">A gazetted detention centre declared by the Minister to be a detention centre to accommodate male and female, remanded or sentenced detainees. Refer to section 13 of </w:t>
            </w:r>
            <w:r w:rsidRPr="00F33B91">
              <w:rPr>
                <w:rFonts w:cs="Arial"/>
                <w:i/>
              </w:rPr>
              <w:t>Young Offenders Act 1994.</w:t>
            </w:r>
          </w:p>
        </w:tc>
      </w:tr>
      <w:tr w:rsidR="00AA4B67" w14:paraId="6BF4977C" w14:textId="77777777" w:rsidTr="00AA4B67">
        <w:tc>
          <w:tcPr>
            <w:tcW w:w="2115" w:type="dxa"/>
          </w:tcPr>
          <w:p w14:paraId="0D1655FC" w14:textId="77777777" w:rsidR="00AA4B67" w:rsidRPr="00C96C76" w:rsidRDefault="00AA4B67" w:rsidP="00AA4B67">
            <w:pPr>
              <w:pStyle w:val="Tabledata"/>
            </w:pPr>
            <w:r w:rsidRPr="00C96C76">
              <w:t>Youth Justice Psychological Services (YJPS)</w:t>
            </w:r>
          </w:p>
          <w:p w14:paraId="61FBCC18" w14:textId="77777777" w:rsidR="00AA4B67" w:rsidRPr="005435AD" w:rsidRDefault="00AA4B67" w:rsidP="00AA4B67">
            <w:pPr>
              <w:pStyle w:val="Tabledata"/>
              <w:rPr>
                <w:b/>
              </w:rPr>
            </w:pPr>
          </w:p>
        </w:tc>
        <w:tc>
          <w:tcPr>
            <w:tcW w:w="7053" w:type="dxa"/>
          </w:tcPr>
          <w:p w14:paraId="13D1A005" w14:textId="7241E988" w:rsidR="00AA4B67" w:rsidRPr="00344FBE" w:rsidRDefault="00AA4B67" w:rsidP="00AA4B67">
            <w:pPr>
              <w:pStyle w:val="Tabledata"/>
            </w:pPr>
            <w:r w:rsidRPr="00C96C76">
              <w:t xml:space="preserve">Provides psychological services to offenders and their families, and </w:t>
            </w:r>
            <w:r w:rsidR="00970D94">
              <w:t>s</w:t>
            </w:r>
            <w:r w:rsidRPr="00C96C76">
              <w:t xml:space="preserve">taff working with </w:t>
            </w:r>
            <w:r w:rsidR="00E11E6E">
              <w:t>detainees</w:t>
            </w:r>
            <w:r w:rsidRPr="00C96C76">
              <w:t xml:space="preserve">. Psychological services </w:t>
            </w:r>
            <w:r w:rsidR="00DD3226" w:rsidRPr="00C96C76">
              <w:t>include</w:t>
            </w:r>
            <w:r w:rsidRPr="00C96C76">
              <w:t xml:space="preserve"> a</w:t>
            </w:r>
            <w:r w:rsidR="00970D94">
              <w:t>s</w:t>
            </w:r>
            <w:r w:rsidR="00D7441A">
              <w:t>s</w:t>
            </w:r>
            <w:r w:rsidRPr="00C96C76">
              <w:t>e</w:t>
            </w:r>
            <w:r w:rsidR="00970D94">
              <w:t>s</w:t>
            </w:r>
            <w:r w:rsidR="00D7441A">
              <w:t>s</w:t>
            </w:r>
            <w:r w:rsidRPr="00C96C76">
              <w:t>ment, intervention and consultation.</w:t>
            </w:r>
          </w:p>
        </w:tc>
      </w:tr>
    </w:tbl>
    <w:p w14:paraId="0078D1D7" w14:textId="2973D4FE" w:rsidR="003D708E" w:rsidRDefault="003D708E" w:rsidP="003D708E">
      <w:pPr>
        <w:pStyle w:val="Heading2"/>
      </w:pPr>
      <w:bookmarkStart w:id="6" w:name="_Toc149126083"/>
      <w:r>
        <w:t>Related legislation</w:t>
      </w:r>
      <w:bookmarkEnd w:id="6"/>
      <w:r>
        <w:t xml:space="preserve"> </w:t>
      </w:r>
    </w:p>
    <w:p w14:paraId="70F0054C" w14:textId="77777777" w:rsidR="00AA4B67" w:rsidRPr="00E3365C" w:rsidRDefault="00AA4B67" w:rsidP="00FF25A4">
      <w:pPr>
        <w:numPr>
          <w:ilvl w:val="0"/>
          <w:numId w:val="12"/>
        </w:numPr>
        <w:spacing w:before="120" w:after="120"/>
        <w:ind w:left="850" w:hanging="425"/>
        <w:rPr>
          <w:i/>
        </w:rPr>
      </w:pPr>
      <w:r w:rsidRPr="00E3365C">
        <w:rPr>
          <w:i/>
        </w:rPr>
        <w:t>Young Offenders Act 1994</w:t>
      </w:r>
    </w:p>
    <w:p w14:paraId="363C714A" w14:textId="48219D63" w:rsidR="002128F1" w:rsidRDefault="00AA4B67" w:rsidP="002128F1">
      <w:pPr>
        <w:numPr>
          <w:ilvl w:val="0"/>
          <w:numId w:val="12"/>
        </w:numPr>
        <w:spacing w:before="200" w:after="120"/>
        <w:ind w:left="850" w:hanging="425"/>
        <w:rPr>
          <w:i/>
        </w:rPr>
      </w:pPr>
      <w:r w:rsidRPr="00E3365C">
        <w:rPr>
          <w:i/>
        </w:rPr>
        <w:t>Young Offenders Regulations 1995</w:t>
      </w:r>
      <w:bookmarkStart w:id="7" w:name="_Toc178286"/>
    </w:p>
    <w:p w14:paraId="4C9FCD2F" w14:textId="77777777" w:rsidR="002128F1" w:rsidRPr="002128F1" w:rsidRDefault="002128F1" w:rsidP="002128F1">
      <w:pPr>
        <w:spacing w:before="200" w:after="120"/>
        <w:ind w:left="425"/>
        <w:rPr>
          <w:i/>
        </w:rPr>
      </w:pPr>
    </w:p>
    <w:p w14:paraId="5AF1D7A1" w14:textId="6D54FCC1" w:rsidR="003E7C04" w:rsidRDefault="002E5756" w:rsidP="00DD3226">
      <w:pPr>
        <w:pStyle w:val="Heading1"/>
        <w:spacing w:before="360" w:after="240"/>
      </w:pPr>
      <w:bookmarkStart w:id="8" w:name="_Toc149126084"/>
      <w:r w:rsidRPr="009D516D">
        <w:t>A</w:t>
      </w:r>
      <w:r w:rsidR="00970D94">
        <w:t>s</w:t>
      </w:r>
      <w:r w:rsidR="00D7441A">
        <w:t>s</w:t>
      </w:r>
      <w:r w:rsidRPr="009D516D">
        <w:t>urance</w:t>
      </w:r>
      <w:bookmarkEnd w:id="7"/>
      <w:bookmarkEnd w:id="8"/>
    </w:p>
    <w:p w14:paraId="5741BA1F" w14:textId="1AFF9B34" w:rsidR="002E5756" w:rsidRPr="009D516D" w:rsidRDefault="002E5756" w:rsidP="00DD3226">
      <w:pPr>
        <w:spacing w:before="360" w:after="240"/>
      </w:pPr>
      <w:r>
        <w:t>It is expected that</w:t>
      </w:r>
      <w:r w:rsidRPr="009D516D">
        <w:t>:</w:t>
      </w:r>
    </w:p>
    <w:p w14:paraId="0F8E0FFB" w14:textId="5B86E742" w:rsidR="002E5756" w:rsidRPr="000F16F8" w:rsidRDefault="00363870" w:rsidP="002E5756">
      <w:pPr>
        <w:pStyle w:val="ListBullet"/>
      </w:pPr>
      <w:r>
        <w:t xml:space="preserve">The </w:t>
      </w:r>
      <w:r w:rsidR="009C6A86">
        <w:t xml:space="preserve">YDC </w:t>
      </w:r>
      <w:r w:rsidR="002E5756">
        <w:t xml:space="preserve">will undertake local </w:t>
      </w:r>
      <w:r w:rsidR="002E5756" w:rsidRPr="000F16F8">
        <w:t xml:space="preserve">compliance in accordance with the </w:t>
      </w:r>
      <w:hyperlink r:id="rId22" w:history="1">
        <w:r w:rsidR="002E5756" w:rsidRPr="003E63D6">
          <w:rPr>
            <w:rStyle w:val="Hyperlink"/>
          </w:rPr>
          <w:t>Compliance Manual</w:t>
        </w:r>
      </w:hyperlink>
      <w:r w:rsidR="002E5756" w:rsidRPr="000F16F8">
        <w:t>.</w:t>
      </w:r>
    </w:p>
    <w:p w14:paraId="5807C60E" w14:textId="2350712D" w:rsidR="002E5756" w:rsidRDefault="004C274A" w:rsidP="002E5756">
      <w:pPr>
        <w:pStyle w:val="ListBullet"/>
      </w:pPr>
      <w:r>
        <w:t>The relevant Deputy Commi</w:t>
      </w:r>
      <w:r w:rsidR="00D7441A">
        <w:t>s</w:t>
      </w:r>
      <w:r w:rsidR="00970D94">
        <w:t>s</w:t>
      </w:r>
      <w:r>
        <w:t xml:space="preserve">ioner will ensure that </w:t>
      </w:r>
      <w:r w:rsidR="002E5756">
        <w:t xml:space="preserve">management oversight </w:t>
      </w:r>
      <w:r>
        <w:t xml:space="preserve">occurs </w:t>
      </w:r>
      <w:r w:rsidR="002E5756">
        <w:t>as required.</w:t>
      </w:r>
      <w:r w:rsidR="002E5756" w:rsidRPr="000F16F8">
        <w:t xml:space="preserve"> </w:t>
      </w:r>
    </w:p>
    <w:p w14:paraId="3D45F7EE" w14:textId="679447F6" w:rsidR="002E5756" w:rsidRPr="000F16F8" w:rsidRDefault="003E63D6" w:rsidP="002E5756">
      <w:pPr>
        <w:pStyle w:val="ListBullet"/>
      </w:pPr>
      <w:r>
        <w:t>Operational</w:t>
      </w:r>
      <w:r w:rsidR="002E5756" w:rsidRPr="000F16F8">
        <w:t xml:space="preserve"> Compliance </w:t>
      </w:r>
      <w:r w:rsidR="002E5756">
        <w:t xml:space="preserve">Branch will undertake checks </w:t>
      </w:r>
      <w:r w:rsidR="002E5756" w:rsidRPr="000F16F8">
        <w:t xml:space="preserve">in accordance with the </w:t>
      </w:r>
      <w:hyperlink r:id="rId23" w:history="1">
        <w:r w:rsidRPr="003E63D6">
          <w:rPr>
            <w:rStyle w:val="Hyperlink"/>
          </w:rPr>
          <w:t xml:space="preserve">Operational </w:t>
        </w:r>
        <w:r w:rsidR="002E5756" w:rsidRPr="003E63D6">
          <w:rPr>
            <w:rStyle w:val="Hyperlink"/>
          </w:rPr>
          <w:t>Compliance Framework</w:t>
        </w:r>
        <w:r w:rsidR="002E5756" w:rsidRPr="00461D26">
          <w:rPr>
            <w:rStyle w:val="Hyperlink"/>
            <w:color w:val="auto"/>
            <w:u w:val="none"/>
          </w:rPr>
          <w:t>.</w:t>
        </w:r>
      </w:hyperlink>
    </w:p>
    <w:p w14:paraId="40452E11" w14:textId="77777777" w:rsidR="00245869" w:rsidRDefault="002E5756" w:rsidP="00D05B49">
      <w:pPr>
        <w:pStyle w:val="ListBullet"/>
      </w:pPr>
      <w:r w:rsidRPr="000F16F8">
        <w:t xml:space="preserve">Independent </w:t>
      </w:r>
      <w:r>
        <w:t>o</w:t>
      </w:r>
      <w:r w:rsidRPr="000F16F8">
        <w:t xml:space="preserve">versight </w:t>
      </w:r>
      <w:r>
        <w:t xml:space="preserve">will be undertaken as required. </w:t>
      </w:r>
    </w:p>
    <w:p w14:paraId="39051C64" w14:textId="77777777" w:rsidR="00245869" w:rsidRPr="00EA7EAC" w:rsidRDefault="00245869" w:rsidP="00EA7EAC">
      <w:r>
        <w:br w:type="page"/>
      </w:r>
    </w:p>
    <w:p w14:paraId="141EF67B" w14:textId="6ED63B14" w:rsidR="00245869" w:rsidRDefault="00245869" w:rsidP="00DF778C">
      <w:pPr>
        <w:pStyle w:val="Heading"/>
      </w:pPr>
      <w:r>
        <w:lastRenderedPageBreak/>
        <w:t xml:space="preserve">Document </w:t>
      </w:r>
      <w:r w:rsidR="009C6A86">
        <w:t>V</w:t>
      </w:r>
      <w:r>
        <w:t xml:space="preserve">ersion </w:t>
      </w:r>
      <w:r w:rsidR="009C6A86">
        <w:t>H</w:t>
      </w:r>
      <w:r>
        <w:t>istory</w:t>
      </w:r>
    </w:p>
    <w:p w14:paraId="02E29179" w14:textId="11FD66F1" w:rsidR="00245869" w:rsidRPr="00AA4B67" w:rsidRDefault="00245869" w:rsidP="00245869">
      <w:pPr>
        <w:pStyle w:val="Instructionalnote"/>
        <w:rPr>
          <w:color w:val="auto"/>
        </w:rPr>
      </w:pPr>
    </w:p>
    <w:tbl>
      <w:tblPr>
        <w:tblStyle w:val="DCStable"/>
        <w:tblW w:w="9608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1"/>
        <w:gridCol w:w="2283"/>
        <w:gridCol w:w="2881"/>
        <w:gridCol w:w="1699"/>
        <w:gridCol w:w="1694"/>
      </w:tblGrid>
      <w:tr w:rsidR="00C53759" w:rsidRPr="007D3C6F" w14:paraId="76C012C8" w14:textId="1A9D1E8A" w:rsidTr="00D07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tcW w:w="1051" w:type="dxa"/>
          </w:tcPr>
          <w:p w14:paraId="48F378B1" w14:textId="77777777" w:rsidR="00C53759" w:rsidRPr="007D3C6F" w:rsidRDefault="00C53759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283" w:type="dxa"/>
          </w:tcPr>
          <w:p w14:paraId="3F69FED0" w14:textId="77777777" w:rsidR="00C53759" w:rsidRPr="007D3C6F" w:rsidRDefault="00C53759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881" w:type="dxa"/>
          </w:tcPr>
          <w:p w14:paraId="60613A3E" w14:textId="77777777" w:rsidR="00C53759" w:rsidRPr="007D3C6F" w:rsidRDefault="00C53759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699" w:type="dxa"/>
          </w:tcPr>
          <w:p w14:paraId="0D043DB5" w14:textId="77777777" w:rsidR="00C53759" w:rsidRPr="007D3C6F" w:rsidRDefault="00C53759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94" w:type="dxa"/>
          </w:tcPr>
          <w:p w14:paraId="18A955FF" w14:textId="55DE2268" w:rsidR="00C53759" w:rsidRPr="007D3C6F" w:rsidRDefault="00C53759" w:rsidP="00DF778C">
            <w:pPr>
              <w:pStyle w:val="Tableheading"/>
            </w:pPr>
            <w:r>
              <w:t>Effective Date</w:t>
            </w:r>
          </w:p>
        </w:tc>
      </w:tr>
      <w:tr w:rsidR="00C53759" w:rsidRPr="007D3C6F" w14:paraId="1B34F4A5" w14:textId="246DFDD1" w:rsidTr="00D07E67">
        <w:trPr>
          <w:trHeight w:val="806"/>
        </w:trPr>
        <w:tc>
          <w:tcPr>
            <w:tcW w:w="1051" w:type="dxa"/>
          </w:tcPr>
          <w:p w14:paraId="0BC9A88B" w14:textId="2373CED6" w:rsidR="00C53759" w:rsidRDefault="00C53759" w:rsidP="00AA4B67">
            <w:pPr>
              <w:pStyle w:val="Tabledata"/>
            </w:pPr>
            <w:r>
              <w:t>1.0</w:t>
            </w:r>
          </w:p>
        </w:tc>
        <w:tc>
          <w:tcPr>
            <w:tcW w:w="2283" w:type="dxa"/>
          </w:tcPr>
          <w:p w14:paraId="52538495" w14:textId="1E4AAC00" w:rsidR="00C53759" w:rsidRDefault="00C53759" w:rsidP="00AA4B67">
            <w:pPr>
              <w:pStyle w:val="Tabledata"/>
            </w:pPr>
            <w:r>
              <w:t>Operational Policy</w:t>
            </w:r>
          </w:p>
        </w:tc>
        <w:tc>
          <w:tcPr>
            <w:tcW w:w="2881" w:type="dxa"/>
          </w:tcPr>
          <w:p w14:paraId="691228C9" w14:textId="12511718" w:rsidR="00C53759" w:rsidRDefault="00C53759" w:rsidP="00AA4B67">
            <w:pPr>
              <w:pStyle w:val="Tabledata"/>
            </w:pPr>
            <w:r>
              <w:t>Approved by A/Director Operational Projects, Policy, Compliance and Contracts</w:t>
            </w:r>
          </w:p>
        </w:tc>
        <w:tc>
          <w:tcPr>
            <w:tcW w:w="1699" w:type="dxa"/>
          </w:tcPr>
          <w:p w14:paraId="78B38CFE" w14:textId="4C75B501" w:rsidR="00C53759" w:rsidRDefault="00C53759" w:rsidP="00AA4B67">
            <w:pPr>
              <w:pStyle w:val="Tabledata"/>
            </w:pPr>
            <w:r>
              <w:t>1 October 2021</w:t>
            </w:r>
          </w:p>
        </w:tc>
        <w:tc>
          <w:tcPr>
            <w:tcW w:w="1694" w:type="dxa"/>
          </w:tcPr>
          <w:p w14:paraId="2AAEF419" w14:textId="0AB44F06" w:rsidR="00C53759" w:rsidRDefault="00C53759" w:rsidP="00AA4B67">
            <w:pPr>
              <w:pStyle w:val="Tabledata"/>
            </w:pPr>
            <w:r>
              <w:t>19 October 2021</w:t>
            </w:r>
          </w:p>
        </w:tc>
      </w:tr>
      <w:tr w:rsidR="00D07E67" w:rsidRPr="007D3C6F" w14:paraId="057CE066" w14:textId="77777777" w:rsidTr="00D07E67">
        <w:trPr>
          <w:trHeight w:val="806"/>
        </w:trPr>
        <w:tc>
          <w:tcPr>
            <w:tcW w:w="1051" w:type="dxa"/>
            <w:vMerge w:val="restart"/>
          </w:tcPr>
          <w:p w14:paraId="4102FD34" w14:textId="14DA18AB" w:rsidR="00D07E67" w:rsidRDefault="00D07E67" w:rsidP="00AA4B67">
            <w:pPr>
              <w:pStyle w:val="Tabledata"/>
            </w:pPr>
            <w:r>
              <w:t>2.0</w:t>
            </w:r>
          </w:p>
        </w:tc>
        <w:tc>
          <w:tcPr>
            <w:tcW w:w="2283" w:type="dxa"/>
            <w:vMerge w:val="restart"/>
          </w:tcPr>
          <w:p w14:paraId="5A91EA63" w14:textId="77777777" w:rsidR="00D07E67" w:rsidRDefault="00D07E67" w:rsidP="00AA4B67">
            <w:pPr>
              <w:pStyle w:val="Tabledata"/>
            </w:pPr>
            <w:r>
              <w:t>Operational Policy</w:t>
            </w:r>
          </w:p>
          <w:p w14:paraId="4B4AEAF6" w14:textId="77777777" w:rsidR="002A5984" w:rsidRDefault="002A5984" w:rsidP="002A5984">
            <w:pPr>
              <w:pStyle w:val="Tabledata"/>
            </w:pPr>
          </w:p>
          <w:p w14:paraId="7B4D8097" w14:textId="1B23E668" w:rsidR="002A5984" w:rsidRDefault="002A5984" w:rsidP="002A5984">
            <w:pPr>
              <w:pStyle w:val="Tabledata"/>
            </w:pPr>
            <w:r>
              <w:t>Memo Reference:</w:t>
            </w:r>
          </w:p>
          <w:p w14:paraId="674B2600" w14:textId="77777777" w:rsidR="002A5984" w:rsidRDefault="002A5984" w:rsidP="002A5984">
            <w:pPr>
              <w:pStyle w:val="Tabledata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D23/940474</w:t>
            </w:r>
          </w:p>
          <w:p w14:paraId="48FDC5A9" w14:textId="77777777" w:rsidR="002A5984" w:rsidRDefault="002A5984" w:rsidP="002A5984">
            <w:pPr>
              <w:pStyle w:val="Tabledata"/>
              <w:rPr>
                <w:bCs/>
              </w:rPr>
            </w:pPr>
          </w:p>
          <w:p w14:paraId="4A94C14E" w14:textId="77777777" w:rsidR="002A5984" w:rsidRDefault="002A5984" w:rsidP="002A5984">
            <w:pPr>
              <w:pStyle w:val="Tabledata"/>
            </w:pPr>
            <w:r>
              <w:t>Content Manager Reference:</w:t>
            </w:r>
          </w:p>
          <w:p w14:paraId="47C8B02B" w14:textId="4E4F64FE" w:rsidR="002A5984" w:rsidRDefault="002A5984" w:rsidP="002A5984">
            <w:pPr>
              <w:pStyle w:val="Tabledata"/>
            </w:pPr>
            <w:r>
              <w:t>S23/9</w:t>
            </w:r>
            <w:r w:rsidR="00454078">
              <w:t>9511</w:t>
            </w:r>
          </w:p>
          <w:p w14:paraId="2AB8984C" w14:textId="5624BDCB" w:rsidR="002A5984" w:rsidRDefault="002A5984" w:rsidP="00AA4B67">
            <w:pPr>
              <w:pStyle w:val="Tabledata"/>
            </w:pPr>
          </w:p>
        </w:tc>
        <w:tc>
          <w:tcPr>
            <w:tcW w:w="2881" w:type="dxa"/>
          </w:tcPr>
          <w:p w14:paraId="3D7A56A6" w14:textId="77777777" w:rsidR="002A5984" w:rsidRDefault="00A93655" w:rsidP="00AA4B67">
            <w:pPr>
              <w:pStyle w:val="Tabledata"/>
            </w:pPr>
            <w:r>
              <w:t xml:space="preserve">Endorsed by the </w:t>
            </w:r>
          </w:p>
          <w:p w14:paraId="06B75E60" w14:textId="1060E17D" w:rsidR="00D07E67" w:rsidRDefault="002A5984" w:rsidP="00AA4B67">
            <w:pPr>
              <w:pStyle w:val="Tabledata"/>
            </w:pPr>
            <w:r>
              <w:t xml:space="preserve">A/ </w:t>
            </w:r>
            <w:r w:rsidR="00A93655">
              <w:t>Assistant Commissioner Women and Young People</w:t>
            </w:r>
          </w:p>
        </w:tc>
        <w:tc>
          <w:tcPr>
            <w:tcW w:w="1699" w:type="dxa"/>
          </w:tcPr>
          <w:p w14:paraId="43AC3648" w14:textId="5F02E34E" w:rsidR="00D07E67" w:rsidRDefault="006E3595" w:rsidP="00AA4B67">
            <w:pPr>
              <w:pStyle w:val="Tabledata"/>
            </w:pPr>
            <w:r>
              <w:t>9 November 2023</w:t>
            </w:r>
          </w:p>
        </w:tc>
        <w:tc>
          <w:tcPr>
            <w:tcW w:w="1694" w:type="dxa"/>
            <w:vMerge w:val="restart"/>
          </w:tcPr>
          <w:p w14:paraId="40AB44D8" w14:textId="2C78AFCC" w:rsidR="00D07E67" w:rsidRDefault="00737872" w:rsidP="00AA4B67">
            <w:pPr>
              <w:pStyle w:val="Tabledata"/>
            </w:pPr>
            <w:r>
              <w:t>1</w:t>
            </w:r>
            <w:r w:rsidR="008416F6">
              <w:t>8</w:t>
            </w:r>
            <w:r>
              <w:t xml:space="preserve"> December 2023</w:t>
            </w:r>
          </w:p>
        </w:tc>
      </w:tr>
      <w:tr w:rsidR="00D07E67" w:rsidRPr="007D3C6F" w14:paraId="08BEB8F5" w14:textId="77777777" w:rsidTr="00D07E67">
        <w:trPr>
          <w:trHeight w:val="806"/>
        </w:trPr>
        <w:tc>
          <w:tcPr>
            <w:tcW w:w="1051" w:type="dxa"/>
            <w:vMerge/>
          </w:tcPr>
          <w:p w14:paraId="37E3C6E3" w14:textId="77777777" w:rsidR="00D07E67" w:rsidRDefault="00D07E67" w:rsidP="00AA4B67">
            <w:pPr>
              <w:pStyle w:val="Tabledata"/>
            </w:pPr>
          </w:p>
        </w:tc>
        <w:tc>
          <w:tcPr>
            <w:tcW w:w="2283" w:type="dxa"/>
            <w:vMerge/>
          </w:tcPr>
          <w:p w14:paraId="3851C51D" w14:textId="77777777" w:rsidR="00D07E67" w:rsidRDefault="00D07E67" w:rsidP="00AA4B67">
            <w:pPr>
              <w:pStyle w:val="Tabledata"/>
            </w:pPr>
          </w:p>
        </w:tc>
        <w:tc>
          <w:tcPr>
            <w:tcW w:w="2881" w:type="dxa"/>
          </w:tcPr>
          <w:p w14:paraId="4F4EC585" w14:textId="77777777" w:rsidR="00D07E67" w:rsidRDefault="00A93655" w:rsidP="00AA4B67">
            <w:pPr>
              <w:pStyle w:val="Tabledata"/>
            </w:pPr>
            <w:r>
              <w:t xml:space="preserve">Approved by the </w:t>
            </w:r>
            <w:r w:rsidR="002A5984">
              <w:t xml:space="preserve">Deputy Commissioner </w:t>
            </w:r>
          </w:p>
          <w:p w14:paraId="3403AA6D" w14:textId="2F3854BC" w:rsidR="002A5984" w:rsidRDefault="002A5984" w:rsidP="00AA4B67">
            <w:pPr>
              <w:pStyle w:val="Tabledata"/>
            </w:pPr>
            <w:r>
              <w:t>Operational Support</w:t>
            </w:r>
          </w:p>
        </w:tc>
        <w:tc>
          <w:tcPr>
            <w:tcW w:w="1699" w:type="dxa"/>
          </w:tcPr>
          <w:p w14:paraId="0BADD69E" w14:textId="0219BEA9" w:rsidR="00D07E67" w:rsidRDefault="006E3595" w:rsidP="00AA4B67">
            <w:pPr>
              <w:pStyle w:val="Tabledata"/>
            </w:pPr>
            <w:r>
              <w:t>15 November 2023</w:t>
            </w:r>
          </w:p>
        </w:tc>
        <w:tc>
          <w:tcPr>
            <w:tcW w:w="1694" w:type="dxa"/>
            <w:vMerge/>
          </w:tcPr>
          <w:p w14:paraId="270F15A9" w14:textId="77777777" w:rsidR="00D07E67" w:rsidRDefault="00D07E67" w:rsidP="00AA4B67">
            <w:pPr>
              <w:pStyle w:val="Tabledata"/>
            </w:pPr>
          </w:p>
        </w:tc>
      </w:tr>
    </w:tbl>
    <w:p w14:paraId="60738DE9" w14:textId="77777777" w:rsidR="00245869" w:rsidRPr="00D05B49" w:rsidRDefault="00245869" w:rsidP="00D05B49"/>
    <w:sectPr w:rsidR="00245869" w:rsidRPr="00D05B49" w:rsidSect="009814BD">
      <w:headerReference w:type="default" r:id="rId24"/>
      <w:footerReference w:type="default" r:id="rId25"/>
      <w:type w:val="continuous"/>
      <w:pgSz w:w="11900" w:h="16840" w:code="9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EC36" w14:textId="77777777" w:rsidR="00095A90" w:rsidRDefault="00095A90" w:rsidP="00D06E62">
      <w:r>
        <w:separator/>
      </w:r>
    </w:p>
  </w:endnote>
  <w:endnote w:type="continuationSeparator" w:id="0">
    <w:p w14:paraId="05A96712" w14:textId="77777777" w:rsidR="00095A90" w:rsidRDefault="00095A90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6AE5" w14:textId="77777777" w:rsidR="009B751B" w:rsidRDefault="00627992" w:rsidP="00663830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>The current version of this document is maintained on the Prison Operations intranet page</w:t>
    </w:r>
    <w:r>
      <w:tab/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4C274A">
      <w:rPr>
        <w:noProof/>
      </w:rPr>
      <w:t>5</w:t>
    </w:r>
    <w:r w:rsidRPr="00627992">
      <w:fldChar w:fldCharType="end"/>
    </w:r>
    <w:r w:rsidRPr="00627992">
      <w:t xml:space="preserve"> of </w:t>
    </w:r>
    <w:r w:rsidR="00644A2D">
      <w:rPr>
        <w:noProof/>
      </w:rPr>
      <w:fldChar w:fldCharType="begin"/>
    </w:r>
    <w:r w:rsidR="00644A2D">
      <w:rPr>
        <w:noProof/>
      </w:rPr>
      <w:instrText xml:space="preserve"> NUMPAGES  \* Arabic  \* MERGEFORMAT </w:instrText>
    </w:r>
    <w:r w:rsidR="00644A2D">
      <w:rPr>
        <w:noProof/>
      </w:rPr>
      <w:fldChar w:fldCharType="separate"/>
    </w:r>
    <w:r w:rsidR="004C274A">
      <w:rPr>
        <w:noProof/>
      </w:rPr>
      <w:t>5</w:t>
    </w:r>
    <w:r w:rsidR="00644A2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CFBB" w14:textId="77777777" w:rsidR="00095A90" w:rsidRDefault="00095A90" w:rsidP="00D06E62">
      <w:r>
        <w:separator/>
      </w:r>
    </w:p>
  </w:footnote>
  <w:footnote w:type="continuationSeparator" w:id="0">
    <w:p w14:paraId="013CD8E1" w14:textId="77777777" w:rsidR="00095A90" w:rsidRDefault="00095A90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0C46" w14:textId="14A42F3B" w:rsidR="00663830" w:rsidRDefault="00663830" w:rsidP="00663830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0B4C76">
      <w:rPr>
        <w:noProof/>
      </w:rPr>
      <w:t>COPP 7.4 Detainees at Risk of Self-Harm or Requiring Additional Support and Monitoring</w:t>
    </w:r>
    <w:r>
      <w:rPr>
        <w:noProof/>
      </w:rPr>
      <w:fldChar w:fldCharType="end"/>
    </w:r>
    <w:r w:rsidR="003E7C04">
      <w:rPr>
        <w:noProof/>
      </w:rPr>
      <w:t xml:space="preserve"> </w:t>
    </w:r>
    <w:r>
      <w:rPr>
        <w:noProof/>
      </w:rPr>
      <w:t xml:space="preserve">v </w:t>
    </w:r>
    <w:r w:rsidR="009C6A86">
      <w:rPr>
        <w:noProof/>
      </w:rPr>
      <w:t>2</w:t>
    </w:r>
    <w:r w:rsidR="00F71643">
      <w:rPr>
        <w:noProof/>
      </w:rPr>
      <w:t>.0</w:t>
    </w:r>
  </w:p>
  <w:p w14:paraId="43E3BB70" w14:textId="77777777" w:rsidR="000925A5" w:rsidRDefault="0009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5522" w14:textId="77777777" w:rsidR="005657AE" w:rsidRDefault="00663830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573564" wp14:editId="53A80E2D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698E08EE" w14:textId="77777777" w:rsidR="008D51C1" w:rsidRPr="00464E72" w:rsidRDefault="008D51C1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73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Wo9gEAAM0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698E08EE" w14:textId="77777777" w:rsidR="008D51C1" w:rsidRPr="00464E72" w:rsidRDefault="008D51C1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34ADCF" wp14:editId="0CFCD9C2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B0166" w14:textId="77777777" w:rsidR="00B937D8" w:rsidRDefault="00B937D8" w:rsidP="00B937D8">
                          <w:pPr>
                            <w:pStyle w:val="Publicationtitle"/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34ADCF" id="Text Box 21" o:spid="_x0000_s1027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" filled="f" stroked="f" strokeweight=".5pt">
              <v:textbox>
                <w:txbxContent>
                  <w:p w14:paraId="65AB0166" w14:textId="77777777" w:rsidR="00B937D8" w:rsidRDefault="00B937D8" w:rsidP="00B937D8">
                    <w:pPr>
                      <w:pStyle w:val="Publicationtitle"/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5B3AAF2E" wp14:editId="755F7164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203F" w14:textId="126E04C6" w:rsidR="009B751B" w:rsidRDefault="00644A2D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8416F6">
      <w:rPr>
        <w:noProof/>
      </w:rPr>
      <w:t>COPP 7.4 Detainees at Risk of Self-Harm or Requiring Additional Support and Monitoring</w:t>
    </w:r>
    <w:r>
      <w:rPr>
        <w:noProof/>
      </w:rPr>
      <w:fldChar w:fldCharType="end"/>
    </w:r>
    <w:r w:rsidR="00B937D8">
      <w:rPr>
        <w:noProof/>
      </w:rPr>
      <w:t xml:space="preserve"> </w:t>
    </w:r>
    <w:r w:rsidR="003E7C04">
      <w:rPr>
        <w:noProof/>
      </w:rPr>
      <w:t>v</w:t>
    </w:r>
    <w:r w:rsidR="009C6A86">
      <w:rPr>
        <w:noProof/>
      </w:rPr>
      <w:t>2</w:t>
    </w:r>
    <w:r w:rsidR="00920781">
      <w:rPr>
        <w:noProof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13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6965"/>
    <w:multiLevelType w:val="multilevel"/>
    <w:tmpl w:val="7A4415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isLgl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  <w:b w:val="0"/>
        <w:color w:val="000000" w:themeColor="text1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9"/>
        </w:tabs>
        <w:ind w:left="16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19"/>
        </w:tabs>
        <w:ind w:left="1619" w:hanging="1800"/>
      </w:pPr>
      <w:rPr>
        <w:rFonts w:hint="default"/>
      </w:rPr>
    </w:lvl>
  </w:abstractNum>
  <w:abstractNum w:abstractNumId="4" w15:restartNumberingAfterBreak="0">
    <w:nsid w:val="200A583F"/>
    <w:multiLevelType w:val="hybridMultilevel"/>
    <w:tmpl w:val="3C4A2FEA"/>
    <w:lvl w:ilvl="0" w:tplc="480EC24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DA2"/>
    <w:multiLevelType w:val="hybridMultilevel"/>
    <w:tmpl w:val="84F42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41DE4"/>
    <w:multiLevelType w:val="multilevel"/>
    <w:tmpl w:val="84F42C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C0000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61053"/>
    <w:multiLevelType w:val="hybridMultilevel"/>
    <w:tmpl w:val="E62019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7760A9"/>
    <w:multiLevelType w:val="hybridMultilevel"/>
    <w:tmpl w:val="94F4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C3CC7"/>
    <w:multiLevelType w:val="multilevel"/>
    <w:tmpl w:val="ECB0ADF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  <w:b w:val="0"/>
        <w:color w:val="000000" w:themeColor="text1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19"/>
        </w:tabs>
        <w:ind w:left="16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19"/>
        </w:tabs>
        <w:ind w:left="1619" w:hanging="1800"/>
      </w:pPr>
      <w:rPr>
        <w:rFonts w:hint="default"/>
      </w:rPr>
    </w:lvl>
  </w:abstractNum>
  <w:abstractNum w:abstractNumId="11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02070">
    <w:abstractNumId w:val="6"/>
  </w:num>
  <w:num w:numId="2" w16cid:durableId="1284074107">
    <w:abstractNumId w:val="4"/>
  </w:num>
  <w:num w:numId="3" w16cid:durableId="1270816061">
    <w:abstractNumId w:val="1"/>
  </w:num>
  <w:num w:numId="4" w16cid:durableId="1936328404">
    <w:abstractNumId w:val="0"/>
  </w:num>
  <w:num w:numId="5" w16cid:durableId="1320302101">
    <w:abstractNumId w:val="8"/>
  </w:num>
  <w:num w:numId="6" w16cid:durableId="1444301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435384">
    <w:abstractNumId w:val="5"/>
  </w:num>
  <w:num w:numId="8" w16cid:durableId="1134830046">
    <w:abstractNumId w:val="11"/>
  </w:num>
  <w:num w:numId="9" w16cid:durableId="1531407877">
    <w:abstractNumId w:val="2"/>
  </w:num>
  <w:num w:numId="10" w16cid:durableId="1904292414">
    <w:abstractNumId w:val="7"/>
  </w:num>
  <w:num w:numId="11" w16cid:durableId="2140875655">
    <w:abstractNumId w:val="3"/>
  </w:num>
  <w:num w:numId="12" w16cid:durableId="1075590093">
    <w:abstractNumId w:val="10"/>
  </w:num>
  <w:num w:numId="13" w16cid:durableId="989333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jnSu/2264ccarvlB/Zte0Dt4SlnOUTld0zawwsFUcNREyWZ96uEb+AXcNPeG9O7KwVDU1ty0NYTxEqYfKAWxjg==" w:salt="kYnkOaUQ2hvE0Ww48MR7V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nualSave" w:val="Y"/>
  </w:docVars>
  <w:rsids>
    <w:rsidRoot w:val="00754534"/>
    <w:rsid w:val="00012531"/>
    <w:rsid w:val="00045F51"/>
    <w:rsid w:val="00067E5B"/>
    <w:rsid w:val="000755EE"/>
    <w:rsid w:val="000925A5"/>
    <w:rsid w:val="00095A90"/>
    <w:rsid w:val="000A013B"/>
    <w:rsid w:val="000B4C76"/>
    <w:rsid w:val="000B6320"/>
    <w:rsid w:val="000D008C"/>
    <w:rsid w:val="000D69A3"/>
    <w:rsid w:val="000E0A33"/>
    <w:rsid w:val="000E4B13"/>
    <w:rsid w:val="000F7531"/>
    <w:rsid w:val="001035D6"/>
    <w:rsid w:val="001158E9"/>
    <w:rsid w:val="00126611"/>
    <w:rsid w:val="00131037"/>
    <w:rsid w:val="00144A1B"/>
    <w:rsid w:val="00146739"/>
    <w:rsid w:val="00150099"/>
    <w:rsid w:val="00155864"/>
    <w:rsid w:val="00163FE0"/>
    <w:rsid w:val="001757E8"/>
    <w:rsid w:val="00193880"/>
    <w:rsid w:val="002128F1"/>
    <w:rsid w:val="002178FA"/>
    <w:rsid w:val="00220E83"/>
    <w:rsid w:val="002457AA"/>
    <w:rsid w:val="00245869"/>
    <w:rsid w:val="00250C62"/>
    <w:rsid w:val="00254316"/>
    <w:rsid w:val="0027609B"/>
    <w:rsid w:val="00285795"/>
    <w:rsid w:val="002A5984"/>
    <w:rsid w:val="002E5756"/>
    <w:rsid w:val="002E6F7B"/>
    <w:rsid w:val="00302144"/>
    <w:rsid w:val="00307964"/>
    <w:rsid w:val="0032292A"/>
    <w:rsid w:val="00345046"/>
    <w:rsid w:val="00363870"/>
    <w:rsid w:val="00380258"/>
    <w:rsid w:val="003C1B90"/>
    <w:rsid w:val="003D708E"/>
    <w:rsid w:val="003E63D6"/>
    <w:rsid w:val="003E6CE1"/>
    <w:rsid w:val="003E7C04"/>
    <w:rsid w:val="003F5D78"/>
    <w:rsid w:val="00400DF5"/>
    <w:rsid w:val="0040796F"/>
    <w:rsid w:val="00454078"/>
    <w:rsid w:val="00457598"/>
    <w:rsid w:val="00461D26"/>
    <w:rsid w:val="00464E72"/>
    <w:rsid w:val="00466CC7"/>
    <w:rsid w:val="00490500"/>
    <w:rsid w:val="004B307A"/>
    <w:rsid w:val="004B6106"/>
    <w:rsid w:val="004C040F"/>
    <w:rsid w:val="004C274A"/>
    <w:rsid w:val="004D040B"/>
    <w:rsid w:val="004E571B"/>
    <w:rsid w:val="00521AF0"/>
    <w:rsid w:val="00554385"/>
    <w:rsid w:val="005657AE"/>
    <w:rsid w:val="00576EFF"/>
    <w:rsid w:val="00592112"/>
    <w:rsid w:val="005968E9"/>
    <w:rsid w:val="005A3EA6"/>
    <w:rsid w:val="005B4936"/>
    <w:rsid w:val="005E566A"/>
    <w:rsid w:val="00627992"/>
    <w:rsid w:val="006335A4"/>
    <w:rsid w:val="00634C54"/>
    <w:rsid w:val="006444FB"/>
    <w:rsid w:val="00644A2D"/>
    <w:rsid w:val="00645B84"/>
    <w:rsid w:val="006551E7"/>
    <w:rsid w:val="00656F4A"/>
    <w:rsid w:val="00663830"/>
    <w:rsid w:val="006B3601"/>
    <w:rsid w:val="006C4F83"/>
    <w:rsid w:val="006E1D9D"/>
    <w:rsid w:val="006E3595"/>
    <w:rsid w:val="00711C79"/>
    <w:rsid w:val="00715807"/>
    <w:rsid w:val="00737872"/>
    <w:rsid w:val="007444AC"/>
    <w:rsid w:val="007522FE"/>
    <w:rsid w:val="00752A9E"/>
    <w:rsid w:val="00754534"/>
    <w:rsid w:val="00775238"/>
    <w:rsid w:val="007B0741"/>
    <w:rsid w:val="007C441E"/>
    <w:rsid w:val="007D3C6F"/>
    <w:rsid w:val="007E67F4"/>
    <w:rsid w:val="008000C6"/>
    <w:rsid w:val="00803710"/>
    <w:rsid w:val="008114B3"/>
    <w:rsid w:val="008416F6"/>
    <w:rsid w:val="00844223"/>
    <w:rsid w:val="00857A48"/>
    <w:rsid w:val="0086067A"/>
    <w:rsid w:val="008976B1"/>
    <w:rsid w:val="008B5E88"/>
    <w:rsid w:val="008D3DE0"/>
    <w:rsid w:val="008D51C1"/>
    <w:rsid w:val="008E06E6"/>
    <w:rsid w:val="0091065E"/>
    <w:rsid w:val="00920781"/>
    <w:rsid w:val="00930B45"/>
    <w:rsid w:val="0096091F"/>
    <w:rsid w:val="00970D94"/>
    <w:rsid w:val="009814BD"/>
    <w:rsid w:val="009962C0"/>
    <w:rsid w:val="009A19E1"/>
    <w:rsid w:val="009B751B"/>
    <w:rsid w:val="009C6A86"/>
    <w:rsid w:val="00A37664"/>
    <w:rsid w:val="00A42648"/>
    <w:rsid w:val="00A42A8F"/>
    <w:rsid w:val="00A43D05"/>
    <w:rsid w:val="00A547EA"/>
    <w:rsid w:val="00A820CD"/>
    <w:rsid w:val="00A93655"/>
    <w:rsid w:val="00AA4B67"/>
    <w:rsid w:val="00AA6897"/>
    <w:rsid w:val="00AC5EAE"/>
    <w:rsid w:val="00AE3362"/>
    <w:rsid w:val="00AF4C82"/>
    <w:rsid w:val="00AF7DDC"/>
    <w:rsid w:val="00B02B08"/>
    <w:rsid w:val="00B71202"/>
    <w:rsid w:val="00B71E59"/>
    <w:rsid w:val="00B834C3"/>
    <w:rsid w:val="00B937D8"/>
    <w:rsid w:val="00BE34ED"/>
    <w:rsid w:val="00C01C48"/>
    <w:rsid w:val="00C06A93"/>
    <w:rsid w:val="00C0767A"/>
    <w:rsid w:val="00C11C3C"/>
    <w:rsid w:val="00C15484"/>
    <w:rsid w:val="00C2101E"/>
    <w:rsid w:val="00C34111"/>
    <w:rsid w:val="00C34C67"/>
    <w:rsid w:val="00C53759"/>
    <w:rsid w:val="00C56EBD"/>
    <w:rsid w:val="00C8272F"/>
    <w:rsid w:val="00C8720B"/>
    <w:rsid w:val="00CC32C2"/>
    <w:rsid w:val="00CC47AF"/>
    <w:rsid w:val="00CD6FF4"/>
    <w:rsid w:val="00CE1A06"/>
    <w:rsid w:val="00D0221B"/>
    <w:rsid w:val="00D05B49"/>
    <w:rsid w:val="00D06E62"/>
    <w:rsid w:val="00D07E67"/>
    <w:rsid w:val="00D20E41"/>
    <w:rsid w:val="00D231EF"/>
    <w:rsid w:val="00D41476"/>
    <w:rsid w:val="00D52373"/>
    <w:rsid w:val="00D7441A"/>
    <w:rsid w:val="00D92DF5"/>
    <w:rsid w:val="00D9330E"/>
    <w:rsid w:val="00DD3226"/>
    <w:rsid w:val="00DF778C"/>
    <w:rsid w:val="00E102E9"/>
    <w:rsid w:val="00E11E6E"/>
    <w:rsid w:val="00E84D53"/>
    <w:rsid w:val="00EA2F74"/>
    <w:rsid w:val="00EA6531"/>
    <w:rsid w:val="00EA7EAC"/>
    <w:rsid w:val="00EC11D3"/>
    <w:rsid w:val="00EC2113"/>
    <w:rsid w:val="00EC5AF1"/>
    <w:rsid w:val="00EC7AB2"/>
    <w:rsid w:val="00EF1CBD"/>
    <w:rsid w:val="00EF2200"/>
    <w:rsid w:val="00F45492"/>
    <w:rsid w:val="00F60389"/>
    <w:rsid w:val="00F71643"/>
    <w:rsid w:val="00F933CE"/>
    <w:rsid w:val="00F948E8"/>
    <w:rsid w:val="00FA1D8B"/>
    <w:rsid w:val="00FA430D"/>
    <w:rsid w:val="00FC1426"/>
    <w:rsid w:val="00FC361B"/>
    <w:rsid w:val="00FD07B6"/>
    <w:rsid w:val="00FE207C"/>
    <w:rsid w:val="00FF1083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8B846"/>
  <w14:defaultImageDpi w14:val="300"/>
  <w15:docId w15:val="{592E55E5-352F-4A0D-A58F-ACB6B0A7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75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4FB"/>
    <w:pPr>
      <w:keepNext/>
      <w:keepLines/>
      <w:numPr>
        <w:numId w:val="3"/>
      </w:numPr>
      <w:spacing w:before="240" w:after="12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EE"/>
    <w:pPr>
      <w:keepNext/>
      <w:keepLines/>
      <w:numPr>
        <w:ilvl w:val="3"/>
        <w:numId w:val="3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3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3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3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3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3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6444FB"/>
    <w:rPr>
      <w:rFonts w:ascii="Arial" w:eastAsia="MS Gothic" w:hAnsi="Arial"/>
      <w:b/>
      <w:bCs/>
      <w:color w:val="000000" w:themeColor="text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755EE"/>
    <w:rPr>
      <w:rFonts w:ascii="Arial" w:eastAsia="MS Gothic" w:hAnsi="Arial" w:cs="Times New Roman"/>
      <w:b/>
      <w:szCs w:val="26"/>
    </w:rPr>
  </w:style>
  <w:style w:type="character" w:customStyle="1" w:styleId="Heading3Char">
    <w:name w:val="Heading 3 Char"/>
    <w:link w:val="Heading3"/>
    <w:uiPriority w:val="9"/>
    <w:semiHidden/>
    <w:rsid w:val="00C34111"/>
    <w:rPr>
      <w:rFonts w:ascii="Arial" w:eastAsia="MS Gothic" w:hAnsi="Arial"/>
      <w:bCs/>
      <w:color w:val="003057"/>
      <w:sz w:val="24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4C67"/>
    <w:pPr>
      <w:tabs>
        <w:tab w:val="left" w:pos="480"/>
        <w:tab w:val="right" w:leader="dot" w:pos="916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A547EA"/>
    <w:pPr>
      <w:keepNext/>
      <w:keepLines/>
      <w:numPr>
        <w:numId w:val="4"/>
      </w:numPr>
      <w:spacing w:after="120"/>
      <w:ind w:left="357" w:hanging="357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ListParagraph"/>
    <w:uiPriority w:val="99"/>
    <w:unhideWhenUsed/>
    <w:rsid w:val="002E5756"/>
    <w:pPr>
      <w:numPr>
        <w:numId w:val="8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7C04"/>
    <w:rPr>
      <w:color w:val="605E5C"/>
      <w:shd w:val="clear" w:color="auto" w:fill="E1DFDD"/>
    </w:rPr>
  </w:style>
  <w:style w:type="paragraph" w:customStyle="1" w:styleId="111Heading">
    <w:name w:val="1.1.1 Heading"/>
    <w:basedOn w:val="Normal"/>
    <w:rsid w:val="003E7C04"/>
    <w:pPr>
      <w:numPr>
        <w:ilvl w:val="2"/>
        <w:numId w:val="11"/>
      </w:numPr>
      <w:spacing w:before="60" w:after="60"/>
    </w:pPr>
    <w:rPr>
      <w:rFonts w:eastAsia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E7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C0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C04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A4B67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56EBD"/>
    <w:pPr>
      <w:spacing w:after="100"/>
      <w:ind w:left="480"/>
    </w:pPr>
  </w:style>
  <w:style w:type="paragraph" w:styleId="Revision">
    <w:name w:val="Revision"/>
    <w:hidden/>
    <w:uiPriority w:val="99"/>
    <w:semiHidden/>
    <w:rsid w:val="000E4B13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ojwa.sharepoint.com/sites/intranet/department/standards/Pages/ops-standards.aspx" TargetMode="External"/><Relationship Id="rId18" Type="http://schemas.openxmlformats.org/officeDocument/2006/relationships/hyperlink" Target="https://dojwa.sharepoint.com/sites/intranet/youth-justic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ojwa.sharepoint.com/sites/intranet/department/standards/Pages/ops-standards.aspx" TargetMode="External"/><Relationship Id="rId7" Type="http://schemas.openxmlformats.org/officeDocument/2006/relationships/styles" Target="styles.xml"/><Relationship Id="rId12" Type="http://schemas.openxmlformats.org/officeDocument/2006/relationships/hyperlink" Target="https://dojwa.sharepoint.com/sites/intranet/department/standards/Pages/ops-standards.aspx" TargetMode="External"/><Relationship Id="rId17" Type="http://schemas.openxmlformats.org/officeDocument/2006/relationships/hyperlink" Target="https://dojwa.sharepoint.com/sites/intranet/youth-justic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jwa.sharepoint.com/sites/intranet/youth-justice" TargetMode="External"/><Relationship Id="rId20" Type="http://schemas.openxmlformats.org/officeDocument/2006/relationships/hyperlink" Target="https://dojwa.sharepoint.com/sites/security-intelligence/security-response/Pages/security-service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dojwa.sharepoint.com/search/Pages/results.aspx?k=operational%20compliance&amp;ql=308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ojwa.sharepoint.com/sites/intranet/youth-justi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dojwa.sharepoint.com/search/Pages/results.aspx?k=operational%20compliance&amp;ql=3081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Youth Custodial Rules</TermName>
          <TermId xmlns="http://schemas.microsoft.com/office/infopath/2007/PartnerControls">58081a5c-2417-44d0-aab6-abfe5521b729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The Department of Justice (the Department) is committed to the early identification and management of detainees in custody presenting either at risk to self, or as requiring multi-disciplinary intervention and additional support and monitoring.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Justice Management Youth</TermName>
          <TermId xmlns="http://schemas.microsoft.com/office/infopath/2007/PartnerControls">bbc87106-b7e5-46e7-a714-53483c2cd0fb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6C0FD-8E3F-46D2-915D-D5D66F222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31270-8447-466A-B9FE-DA2C0C9A5A75}">
  <ds:schemaRefs>
    <ds:schemaRef ds:uri="http://schemas.microsoft.com/office/2006/metadata/properties"/>
    <ds:schemaRef ds:uri="http://schemas.microsoft.com/office/infopath/2007/PartnerControls"/>
    <ds:schemaRef ds:uri="87620643-678a-4ec4-b8d1-35ea5295a2f1"/>
    <ds:schemaRef ds:uri="http://schemas.microsoft.com/sharepoint/v3/fields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1550</Words>
  <Characters>8835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7.4 Detainees at Risk of Self-Harm or Requiring Additional Support and Monitoring</vt:lpstr>
    </vt:vector>
  </TitlesOfParts>
  <Manager>Nimilandra.Nageswaran@correctiveservices.wa.gov.au</Manager>
  <Company>Department of Justice</Company>
  <LinksUpToDate>false</LinksUpToDate>
  <CharactersWithSpaces>10365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7.4 Detainees at Risk of Self-Harm or Requiring Additional Support and Monitoring</dc:title>
  <dc:subject/>
  <dc:creator>Byrne, Claire</dc:creator>
  <cp:keywords/>
  <dc:description/>
  <cp:lastModifiedBy>Stead, Gail</cp:lastModifiedBy>
  <cp:revision>27</cp:revision>
  <cp:lastPrinted>2021-09-29T05:36:00Z</cp:lastPrinted>
  <dcterms:created xsi:type="dcterms:W3CDTF">2022-01-28T04:49:00Z</dcterms:created>
  <dcterms:modified xsi:type="dcterms:W3CDTF">2023-12-17T22:55:00Z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