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9E03" w14:textId="353655F4" w:rsidR="00146739" w:rsidRPr="002E5756" w:rsidRDefault="00D83D90" w:rsidP="002E5756">
      <w:pPr>
        <w:pStyle w:val="Title"/>
        <w:rPr>
          <w:rFonts w:hint="eastAsia"/>
        </w:rPr>
      </w:pPr>
      <w:r>
        <w:t xml:space="preserve">COPP </w:t>
      </w:r>
      <w:r w:rsidR="00D06097">
        <w:t>3.3 Voluntary Starvation</w:t>
      </w:r>
    </w:p>
    <w:p w14:paraId="78E698DA" w14:textId="77777777" w:rsidR="000D69A3" w:rsidRPr="00EA7EAC" w:rsidRDefault="00A547EA" w:rsidP="00EA7EAC">
      <w:pPr>
        <w:pStyle w:val="Subtitle"/>
        <w:rPr>
          <w:rFonts w:hint="eastAsia"/>
        </w:rPr>
      </w:pPr>
      <w:r>
        <w:t>Banksia Hill Detention Centre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74ED884A" w14:textId="77777777" w:rsidTr="00031DDF">
        <w:trPr>
          <w:trHeight w:val="4932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4182D323" w14:textId="5D9D060F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124337B6" w14:textId="0F4BED54" w:rsidR="0058669A" w:rsidRDefault="00E25750" w:rsidP="00203EE2">
            <w:r w:rsidRPr="00E25750">
              <w:t xml:space="preserve">In context of the </w:t>
            </w:r>
            <w:r w:rsidR="0058669A">
              <w:t>following:</w:t>
            </w:r>
          </w:p>
          <w:p w14:paraId="519A48BC" w14:textId="77777777" w:rsidR="0058669A" w:rsidRDefault="0058669A" w:rsidP="00203EE2"/>
          <w:p w14:paraId="0F09A5BE" w14:textId="5107562B" w:rsidR="0058669A" w:rsidRPr="0058669A" w:rsidRDefault="00D10A32" w:rsidP="0058669A">
            <w:hyperlink r:id="rId12" w:history="1">
              <w:r w:rsidR="0058669A" w:rsidRPr="00FF5AD7">
                <w:rPr>
                  <w:rStyle w:val="Hyperlink"/>
                </w:rPr>
                <w:t>Australasian Youth Justice Administrators Standards, 2009</w:t>
              </w:r>
            </w:hyperlink>
          </w:p>
          <w:p w14:paraId="26E54358" w14:textId="77777777" w:rsidR="0058669A" w:rsidRDefault="0058669A" w:rsidP="00203EE2"/>
          <w:p w14:paraId="445541CA" w14:textId="6EDC6563" w:rsidR="0058669A" w:rsidRDefault="0058669A" w:rsidP="00203EE2">
            <w:r w:rsidRPr="0058669A">
              <w:t>Staff complete induction and mandatory training.</w:t>
            </w:r>
          </w:p>
          <w:p w14:paraId="15C9AC6A" w14:textId="77777777" w:rsidR="0058669A" w:rsidRDefault="0058669A" w:rsidP="00203EE2"/>
          <w:p w14:paraId="16BB60CB" w14:textId="77777777" w:rsidR="0058669A" w:rsidRDefault="0058669A" w:rsidP="00203EE2">
            <w:r>
              <w:t>Custodial environments are safe and secure.</w:t>
            </w:r>
          </w:p>
          <w:p w14:paraId="2D7D11A8" w14:textId="77777777" w:rsidR="0058669A" w:rsidRDefault="0058669A" w:rsidP="00203EE2"/>
          <w:p w14:paraId="0683DF2B" w14:textId="30650A37" w:rsidR="0058669A" w:rsidRPr="00203EE2" w:rsidRDefault="00D10A32" w:rsidP="0058669A">
            <w:hyperlink r:id="rId13" w:history="1">
              <w:r w:rsidR="0058669A" w:rsidRPr="00FF5AD7">
                <w:rPr>
                  <w:rStyle w:val="Hyperlink"/>
                </w:rPr>
                <w:t>Australian Human Rights Commission National Principles for Child Safe Organisations, 201</w:t>
              </w:r>
              <w:r w:rsidR="00E70327" w:rsidRPr="00FF5AD7">
                <w:rPr>
                  <w:rStyle w:val="Hyperlink"/>
                </w:rPr>
                <w:t>9</w:t>
              </w:r>
            </w:hyperlink>
          </w:p>
          <w:p w14:paraId="6383E43F" w14:textId="77777777" w:rsidR="0058669A" w:rsidRPr="00203EE2" w:rsidRDefault="0058669A" w:rsidP="00203EE2"/>
          <w:p w14:paraId="355765EA" w14:textId="764B3BC8" w:rsidR="0058669A" w:rsidRPr="00D06097" w:rsidRDefault="0058669A" w:rsidP="0058669A">
            <w:r w:rsidRPr="0058669A">
              <w:t>Risk management strategies focus on preventing, identifying and mitigating risks to children and young people.</w:t>
            </w:r>
          </w:p>
        </w:tc>
      </w:tr>
    </w:tbl>
    <w:p w14:paraId="296C92D2" w14:textId="77777777" w:rsidR="00203EE2" w:rsidRDefault="00203EE2" w:rsidP="00203EE2">
      <w:pPr>
        <w:sectPr w:rsidR="00203EE2" w:rsidSect="000B60F5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0" w:h="16840" w:code="9"/>
          <w:pgMar w:top="1418" w:right="1418" w:bottom="1134" w:left="1304" w:header="709" w:footer="590" w:gutter="0"/>
          <w:cols w:space="708"/>
          <w:titlePg/>
          <w:docGrid w:linePitch="360"/>
        </w:sectPr>
      </w:pPr>
    </w:p>
    <w:p w14:paraId="0B04C4BA" w14:textId="39D131B4" w:rsidR="00031DDF" w:rsidRPr="00203EE2" w:rsidRDefault="00031DDF" w:rsidP="00203EE2"/>
    <w:p w14:paraId="072174BF" w14:textId="77777777" w:rsidR="00FA1D8B" w:rsidRPr="00AF7DDC" w:rsidRDefault="00FA1D8B" w:rsidP="00AF7DDC">
      <w:pPr>
        <w:pStyle w:val="Heading"/>
      </w:pPr>
      <w:r w:rsidRPr="00AF7DDC">
        <w:t>Contents</w:t>
      </w:r>
    </w:p>
    <w:p w14:paraId="71F4FE55" w14:textId="77777777" w:rsidR="00A3758F" w:rsidRDefault="00E703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3110788" w:history="1">
        <w:r w:rsidR="00A3758F" w:rsidRPr="0056785D">
          <w:rPr>
            <w:rStyle w:val="Hyperlink"/>
            <w:noProof/>
          </w:rPr>
          <w:t>1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Scope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_Toc43110788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3</w:t>
        </w:r>
        <w:r w:rsidR="00A3758F">
          <w:rPr>
            <w:noProof/>
            <w:webHidden/>
          </w:rPr>
          <w:fldChar w:fldCharType="end"/>
        </w:r>
      </w:hyperlink>
    </w:p>
    <w:p w14:paraId="5ECE08C6" w14:textId="77777777" w:rsidR="00A3758F" w:rsidRDefault="00D10A3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89" w:history="1">
        <w:r w:rsidR="00A3758F" w:rsidRPr="0056785D">
          <w:rPr>
            <w:rStyle w:val="Hyperlink"/>
            <w:noProof/>
          </w:rPr>
          <w:t>2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Policy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_Toc43110789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3</w:t>
        </w:r>
        <w:r w:rsidR="00A3758F">
          <w:rPr>
            <w:noProof/>
            <w:webHidden/>
          </w:rPr>
          <w:fldChar w:fldCharType="end"/>
        </w:r>
      </w:hyperlink>
    </w:p>
    <w:p w14:paraId="2133848D" w14:textId="77777777" w:rsidR="00A3758F" w:rsidRDefault="00D10A3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0" w:history="1">
        <w:r w:rsidR="00A3758F" w:rsidRPr="0056785D">
          <w:rPr>
            <w:rStyle w:val="Hyperlink"/>
            <w:noProof/>
          </w:rPr>
          <w:t>3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Observation or Concerns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_Toc43110790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4</w:t>
        </w:r>
        <w:r w:rsidR="00A3758F">
          <w:rPr>
            <w:noProof/>
            <w:webHidden/>
          </w:rPr>
          <w:fldChar w:fldCharType="end"/>
        </w:r>
      </w:hyperlink>
    </w:p>
    <w:p w14:paraId="5070C8EC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1" w:history="1">
        <w:r w:rsidR="00A3758F" w:rsidRPr="0056785D">
          <w:rPr>
            <w:rStyle w:val="Hyperlink"/>
            <w:noProof/>
          </w:rPr>
          <w:t>3.1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Identification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_Toc43110791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4</w:t>
        </w:r>
        <w:r w:rsidR="00A3758F">
          <w:rPr>
            <w:noProof/>
            <w:webHidden/>
          </w:rPr>
          <w:fldChar w:fldCharType="end"/>
        </w:r>
      </w:hyperlink>
    </w:p>
    <w:p w14:paraId="11D8EC50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2" w:history="1">
        <w:r w:rsidR="00A3758F" w:rsidRPr="0056785D">
          <w:rPr>
            <w:rStyle w:val="Hyperlink"/>
            <w:noProof/>
          </w:rPr>
          <w:t>3.2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Initial management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_Toc43110792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4</w:t>
        </w:r>
        <w:r w:rsidR="00A3758F">
          <w:rPr>
            <w:noProof/>
            <w:webHidden/>
          </w:rPr>
          <w:fldChar w:fldCharType="end"/>
        </w:r>
      </w:hyperlink>
    </w:p>
    <w:p w14:paraId="49EE8617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3" w:history="1">
        <w:r w:rsidR="00A3758F" w:rsidRPr="0056785D">
          <w:rPr>
            <w:rStyle w:val="Hyperlink"/>
            <w:noProof/>
          </w:rPr>
          <w:t>3.3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Escalations and notifications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_Toc43110793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4</w:t>
        </w:r>
        <w:r w:rsidR="00A3758F">
          <w:rPr>
            <w:noProof/>
            <w:webHidden/>
          </w:rPr>
          <w:fldChar w:fldCharType="end"/>
        </w:r>
      </w:hyperlink>
    </w:p>
    <w:p w14:paraId="5E9AEFB4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4" w:history="1">
        <w:r w:rsidR="00A3758F" w:rsidRPr="0056785D">
          <w:rPr>
            <w:rStyle w:val="Hyperlink"/>
            <w:noProof/>
          </w:rPr>
          <w:t>3.4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Management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_Toc43110794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5</w:t>
        </w:r>
        <w:r w:rsidR="00A3758F">
          <w:rPr>
            <w:noProof/>
            <w:webHidden/>
          </w:rPr>
          <w:fldChar w:fldCharType="end"/>
        </w:r>
      </w:hyperlink>
    </w:p>
    <w:p w14:paraId="78EAB3F0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5" w:history="1">
        <w:r w:rsidR="00A3758F" w:rsidRPr="0056785D">
          <w:rPr>
            <w:rStyle w:val="Hyperlink"/>
            <w:noProof/>
          </w:rPr>
          <w:t>3.5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Reporting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_Toc43110795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5</w:t>
        </w:r>
        <w:r w:rsidR="00A3758F">
          <w:rPr>
            <w:noProof/>
            <w:webHidden/>
          </w:rPr>
          <w:fldChar w:fldCharType="end"/>
        </w:r>
      </w:hyperlink>
    </w:p>
    <w:p w14:paraId="5F05FF70" w14:textId="77777777" w:rsidR="00A3758F" w:rsidRDefault="00D10A3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6" w:history="1">
        <w:r w:rsidR="00A3758F" w:rsidRPr="0056785D">
          <w:rPr>
            <w:rStyle w:val="Hyperlink"/>
            <w:noProof/>
          </w:rPr>
          <w:t>4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Annexures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_Toc43110796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6</w:t>
        </w:r>
        <w:r w:rsidR="00A3758F">
          <w:rPr>
            <w:noProof/>
            <w:webHidden/>
          </w:rPr>
          <w:fldChar w:fldCharType="end"/>
        </w:r>
      </w:hyperlink>
    </w:p>
    <w:p w14:paraId="04255245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7" w:history="1">
        <w:r w:rsidR="00A3758F" w:rsidRPr="0056785D">
          <w:rPr>
            <w:rStyle w:val="Hyperlink"/>
            <w:noProof/>
          </w:rPr>
          <w:t>4.1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Related COPPs and other documents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_Toc43110797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6</w:t>
        </w:r>
        <w:r w:rsidR="00A3758F">
          <w:rPr>
            <w:noProof/>
            <w:webHidden/>
          </w:rPr>
          <w:fldChar w:fldCharType="end"/>
        </w:r>
      </w:hyperlink>
    </w:p>
    <w:p w14:paraId="26D1C7BB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8" w:history="1">
        <w:r w:rsidR="00A3758F" w:rsidRPr="0056785D">
          <w:rPr>
            <w:rStyle w:val="Hyperlink"/>
            <w:noProof/>
          </w:rPr>
          <w:t>4.2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Definitions and acronyms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_Toc43110798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6</w:t>
        </w:r>
        <w:r w:rsidR="00A3758F">
          <w:rPr>
            <w:noProof/>
            <w:webHidden/>
          </w:rPr>
          <w:fldChar w:fldCharType="end"/>
        </w:r>
      </w:hyperlink>
    </w:p>
    <w:p w14:paraId="58E82048" w14:textId="77777777" w:rsidR="00A3758F" w:rsidRDefault="00D10A3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799" w:history="1">
        <w:r w:rsidR="00A3758F" w:rsidRPr="0056785D">
          <w:rPr>
            <w:rStyle w:val="Hyperlink"/>
            <w:noProof/>
          </w:rPr>
          <w:t>4.3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Related legislation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_Toc43110799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7</w:t>
        </w:r>
        <w:r w:rsidR="00A3758F">
          <w:rPr>
            <w:noProof/>
            <w:webHidden/>
          </w:rPr>
          <w:fldChar w:fldCharType="end"/>
        </w:r>
      </w:hyperlink>
    </w:p>
    <w:p w14:paraId="5C2B51B5" w14:textId="77777777" w:rsidR="00A3758F" w:rsidRDefault="00D10A3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3110800" w:history="1">
        <w:r w:rsidR="00A3758F" w:rsidRPr="0056785D">
          <w:rPr>
            <w:rStyle w:val="Hyperlink"/>
            <w:noProof/>
          </w:rPr>
          <w:t>5</w:t>
        </w:r>
        <w:r w:rsidR="00A3758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758F" w:rsidRPr="0056785D">
          <w:rPr>
            <w:rStyle w:val="Hyperlink"/>
            <w:noProof/>
          </w:rPr>
          <w:t>Assurance</w:t>
        </w:r>
        <w:r w:rsidR="00A3758F">
          <w:rPr>
            <w:noProof/>
            <w:webHidden/>
          </w:rPr>
          <w:tab/>
        </w:r>
        <w:r w:rsidR="00A3758F">
          <w:rPr>
            <w:noProof/>
            <w:webHidden/>
          </w:rPr>
          <w:fldChar w:fldCharType="begin"/>
        </w:r>
        <w:r w:rsidR="00A3758F">
          <w:rPr>
            <w:noProof/>
            <w:webHidden/>
          </w:rPr>
          <w:instrText xml:space="preserve"> PAGEREF _Toc43110800 \h </w:instrText>
        </w:r>
        <w:r w:rsidR="00A3758F">
          <w:rPr>
            <w:noProof/>
            <w:webHidden/>
          </w:rPr>
        </w:r>
        <w:r w:rsidR="00A3758F">
          <w:rPr>
            <w:noProof/>
            <w:webHidden/>
          </w:rPr>
          <w:fldChar w:fldCharType="separate"/>
        </w:r>
        <w:r w:rsidR="00A3758F">
          <w:rPr>
            <w:noProof/>
            <w:webHidden/>
          </w:rPr>
          <w:t>8</w:t>
        </w:r>
        <w:r w:rsidR="00A3758F">
          <w:rPr>
            <w:noProof/>
            <w:webHidden/>
          </w:rPr>
          <w:fldChar w:fldCharType="end"/>
        </w:r>
      </w:hyperlink>
    </w:p>
    <w:p w14:paraId="340CD7F0" w14:textId="68AD7FB4" w:rsidR="00634C54" w:rsidRDefault="00E70327" w:rsidP="004E571B">
      <w:r>
        <w:fldChar w:fldCharType="end"/>
      </w:r>
    </w:p>
    <w:p w14:paraId="6BC4DA3B" w14:textId="77777777" w:rsidR="00634C54" w:rsidRDefault="00634C54">
      <w:r>
        <w:br w:type="page"/>
      </w:r>
    </w:p>
    <w:p w14:paraId="79F4E8ED" w14:textId="77777777" w:rsidR="00C8272F" w:rsidRDefault="00C8272F" w:rsidP="00203EE2">
      <w:pPr>
        <w:pStyle w:val="Heading1"/>
      </w:pPr>
      <w:bookmarkStart w:id="0" w:name="_Toc43110788"/>
      <w:r>
        <w:lastRenderedPageBreak/>
        <w:t>Scope</w:t>
      </w:r>
      <w:bookmarkEnd w:id="0"/>
    </w:p>
    <w:p w14:paraId="314D004C" w14:textId="13F257F8" w:rsidR="00822852" w:rsidRDefault="00365BC2" w:rsidP="00822852">
      <w:r w:rsidRPr="00365BC2">
        <w:t>This Commissioner’s Operating Policy and Procedure (COPP) applies to all Banksia Hill Detention Centre (BHDC) Custodial Officers and staff</w:t>
      </w:r>
      <w:r w:rsidR="00B37932" w:rsidRPr="00B37932">
        <w:t>.</w:t>
      </w:r>
    </w:p>
    <w:p w14:paraId="57E83776" w14:textId="77777777" w:rsidR="00EC5AF1" w:rsidRPr="00203EE2" w:rsidRDefault="00EC5AF1" w:rsidP="00203EE2">
      <w:pPr>
        <w:pStyle w:val="Heading1"/>
      </w:pPr>
      <w:bookmarkStart w:id="1" w:name="_Toc43110789"/>
      <w:r w:rsidRPr="00203EE2">
        <w:t>Policy</w:t>
      </w:r>
      <w:bookmarkEnd w:id="1"/>
      <w:r w:rsidRPr="00203EE2">
        <w:t xml:space="preserve"> </w:t>
      </w:r>
    </w:p>
    <w:p w14:paraId="02A481FD" w14:textId="331A2493" w:rsidR="0043301A" w:rsidRDefault="001336BB" w:rsidP="00B31A35">
      <w:r>
        <w:t xml:space="preserve">Voluntary starvation </w:t>
      </w:r>
      <w:r w:rsidR="00642791">
        <w:t xml:space="preserve">is where a detainee makes a </w:t>
      </w:r>
      <w:r w:rsidR="00BF5125">
        <w:t xml:space="preserve">conscious </w:t>
      </w:r>
      <w:r w:rsidR="00642791">
        <w:t xml:space="preserve">decision to refuse to eat </w:t>
      </w:r>
      <w:r w:rsidR="000D390D">
        <w:t xml:space="preserve">or </w:t>
      </w:r>
      <w:r w:rsidR="00642791">
        <w:t xml:space="preserve">drink. </w:t>
      </w:r>
    </w:p>
    <w:p w14:paraId="7C1B6B66" w14:textId="77777777" w:rsidR="00642791" w:rsidRDefault="00642791" w:rsidP="00B31A35"/>
    <w:p w14:paraId="42F41381" w14:textId="4DD4D181" w:rsidR="00B31A35" w:rsidRPr="00B31A35" w:rsidRDefault="00642791" w:rsidP="00B31A35">
      <w:r>
        <w:t xml:space="preserve">Voluntary starvation </w:t>
      </w:r>
      <w:r w:rsidR="001336BB">
        <w:t>may be</w:t>
      </w:r>
      <w:r w:rsidR="001B3A36">
        <w:t xml:space="preserve"> utilised as a way of expressing </w:t>
      </w:r>
      <w:r w:rsidR="007707EE">
        <w:t xml:space="preserve">emotions or a way of protest. </w:t>
      </w:r>
      <w:r w:rsidR="00B31A35" w:rsidRPr="00B31A35">
        <w:t xml:space="preserve">The significance of voluntary starvation may result from a single act, omission or an accumulation of factors. </w:t>
      </w:r>
      <w:r w:rsidR="00F3492E" w:rsidRPr="0076217B">
        <w:t xml:space="preserve">Voluntary starvation may </w:t>
      </w:r>
      <w:r w:rsidR="002A276A">
        <w:t xml:space="preserve">also </w:t>
      </w:r>
      <w:r w:rsidR="00F3492E" w:rsidRPr="0076217B">
        <w:t xml:space="preserve">be utilised </w:t>
      </w:r>
      <w:r w:rsidR="00F757DB">
        <w:t xml:space="preserve">by the detainee </w:t>
      </w:r>
      <w:r w:rsidR="00F3492E" w:rsidRPr="0076217B">
        <w:t>as a form of self-harm and may have a detrimental effect on a detainee’s physical, psychological or emotional well-being</w:t>
      </w:r>
      <w:r w:rsidR="005C6C2A" w:rsidRPr="0076217B">
        <w:t>.</w:t>
      </w:r>
      <w:r w:rsidR="005C6C2A" w:rsidRPr="00B31A35">
        <w:t xml:space="preserve"> </w:t>
      </w:r>
    </w:p>
    <w:p w14:paraId="289D188D" w14:textId="77777777" w:rsidR="00DA2414" w:rsidRDefault="00DA2414" w:rsidP="00DA2414"/>
    <w:p w14:paraId="2DC3A726" w14:textId="172C1F29" w:rsidR="00107C79" w:rsidRDefault="00B12CF1" w:rsidP="00107C79">
      <w:r w:rsidRPr="00B12CF1">
        <w:t>The Youth Custodial Entry Level Training Program provides C</w:t>
      </w:r>
      <w:r w:rsidR="007D1D47">
        <w:t xml:space="preserve">ustodial </w:t>
      </w:r>
      <w:r w:rsidRPr="00B12CF1">
        <w:t>O</w:t>
      </w:r>
      <w:r w:rsidR="007D1D47">
        <w:t>fficers</w:t>
      </w:r>
      <w:r w:rsidRPr="00B12CF1">
        <w:t xml:space="preserve"> with programs and competencies for </w:t>
      </w:r>
      <w:r w:rsidR="00DA2414" w:rsidRPr="00DA2414">
        <w:t>protecting the safety and welfare of detainees wh</w:t>
      </w:r>
      <w:r w:rsidR="00CF0CCC">
        <w:t xml:space="preserve">ich enables the </w:t>
      </w:r>
      <w:r w:rsidR="00D950BB">
        <w:t>Custodial Officer</w:t>
      </w:r>
      <w:r w:rsidR="00CF0CCC">
        <w:t xml:space="preserve"> to assess </w:t>
      </w:r>
      <w:r w:rsidR="00DA2414" w:rsidRPr="00DA2414">
        <w:t>detainees to organise their care and protection</w:t>
      </w:r>
      <w:r w:rsidR="00107C79">
        <w:t>. However, d</w:t>
      </w:r>
      <w:r w:rsidR="00107C79" w:rsidRPr="00107C79">
        <w:t xml:space="preserve">etainees may not always verbalise their intent to voluntarily starve themselves which results in difficulties for staff to </w:t>
      </w:r>
      <w:r w:rsidR="00CF0CCC">
        <w:t xml:space="preserve">assess and </w:t>
      </w:r>
      <w:r w:rsidR="00107C79" w:rsidRPr="00107C79">
        <w:t xml:space="preserve">determine the detainee intent to starve. </w:t>
      </w:r>
    </w:p>
    <w:p w14:paraId="20741EEA" w14:textId="77777777" w:rsidR="00AE3B60" w:rsidRDefault="00AE3B60" w:rsidP="00107C79"/>
    <w:p w14:paraId="21D2ACE2" w14:textId="48093244" w:rsidR="00AE3B60" w:rsidRPr="00107C79" w:rsidRDefault="00AE3B60" w:rsidP="00107C79">
      <w:r>
        <w:t>Staff are to be aware of changes in meal times</w:t>
      </w:r>
      <w:r w:rsidR="00676E46">
        <w:t>, fasting</w:t>
      </w:r>
      <w:r>
        <w:t xml:space="preserve"> and eating habits due to cultural and religious requirements </w:t>
      </w:r>
      <w:r w:rsidR="00676E46">
        <w:t xml:space="preserve">which are </w:t>
      </w:r>
      <w:r>
        <w:t xml:space="preserve">not </w:t>
      </w:r>
      <w:r w:rsidR="00676E46">
        <w:t>deemed as ‘</w:t>
      </w:r>
      <w:r w:rsidR="00B25880">
        <w:t xml:space="preserve">voluntary </w:t>
      </w:r>
      <w:r>
        <w:t>starvation</w:t>
      </w:r>
      <w:r w:rsidR="005C6C2A">
        <w:t>.’</w:t>
      </w:r>
      <w:r>
        <w:t xml:space="preserve"> For example, </w:t>
      </w:r>
      <w:r w:rsidR="00BF586B">
        <w:t>fasting during</w:t>
      </w:r>
      <w:r>
        <w:t xml:space="preserve"> day light hours during Ramadan </w:t>
      </w:r>
      <w:r w:rsidR="00BF586B">
        <w:t xml:space="preserve">as part of the </w:t>
      </w:r>
      <w:r w:rsidR="002813AD">
        <w:t>5</w:t>
      </w:r>
      <w:r w:rsidR="00BF586B">
        <w:t xml:space="preserve"> pillars of </w:t>
      </w:r>
      <w:r w:rsidR="00CA79C5">
        <w:t xml:space="preserve">Islam is a religious choice not </w:t>
      </w:r>
      <w:r w:rsidR="00CF0CCC">
        <w:t>‘</w:t>
      </w:r>
      <w:r w:rsidR="00CA79C5">
        <w:t>voluntary starvation</w:t>
      </w:r>
      <w:r w:rsidR="00CF0CCC">
        <w:t>’</w:t>
      </w:r>
      <w:r w:rsidR="00CA79C5">
        <w:t>.</w:t>
      </w:r>
    </w:p>
    <w:p w14:paraId="45F0330C" w14:textId="77777777" w:rsidR="00F3492E" w:rsidRDefault="00F3492E" w:rsidP="0076217B"/>
    <w:p w14:paraId="68AE6AAC" w14:textId="7987CFDD" w:rsidR="00C2391F" w:rsidRDefault="00F3492E" w:rsidP="0076217B">
      <w:r>
        <w:t xml:space="preserve">This COPP provides the policy and procedure for </w:t>
      </w:r>
      <w:r w:rsidR="003D3241">
        <w:t xml:space="preserve">escalation of concerns, </w:t>
      </w:r>
      <w:r w:rsidR="003B4159">
        <w:t>observation</w:t>
      </w:r>
      <w:r w:rsidR="003D3241">
        <w:t xml:space="preserve"> or confirmation</w:t>
      </w:r>
      <w:r w:rsidR="003B4159">
        <w:t xml:space="preserve"> </w:t>
      </w:r>
      <w:r>
        <w:t xml:space="preserve">where </w:t>
      </w:r>
      <w:r w:rsidR="005F73AF">
        <w:t xml:space="preserve">staff </w:t>
      </w:r>
      <w:r>
        <w:t xml:space="preserve">believe or have been informed that a detainee </w:t>
      </w:r>
      <w:r w:rsidR="00A30AB1">
        <w:t>is or i</w:t>
      </w:r>
      <w:r>
        <w:t>ntend</w:t>
      </w:r>
      <w:r w:rsidR="00A644CE">
        <w:t xml:space="preserve">s </w:t>
      </w:r>
      <w:r>
        <w:t xml:space="preserve"> to voluntarily </w:t>
      </w:r>
      <w:r w:rsidR="00330FD8">
        <w:t>starve</w:t>
      </w:r>
      <w:r>
        <w:t xml:space="preserve"> themselves.</w:t>
      </w:r>
    </w:p>
    <w:p w14:paraId="063F2B18" w14:textId="08BF6076" w:rsidR="005F73AF" w:rsidRPr="0076217B" w:rsidRDefault="000035B9" w:rsidP="0076217B">
      <w:r w:rsidRPr="000035B9">
        <w:t xml:space="preserve">Voluntary starvation is primarily a health </w:t>
      </w:r>
      <w:r>
        <w:t>issue</w:t>
      </w:r>
      <w:r w:rsidR="00D641A8">
        <w:t xml:space="preserve"> and requires</w:t>
      </w:r>
      <w:r>
        <w:t xml:space="preserve"> medical management</w:t>
      </w:r>
      <w:r w:rsidR="00D641A8">
        <w:t xml:space="preserve">. </w:t>
      </w:r>
      <w:r w:rsidR="005F73AF">
        <w:t xml:space="preserve">Health </w:t>
      </w:r>
      <w:r w:rsidR="00D77DA1">
        <w:t xml:space="preserve">and medical </w:t>
      </w:r>
      <w:r w:rsidR="00D641A8">
        <w:t xml:space="preserve">management </w:t>
      </w:r>
      <w:r w:rsidR="005F73AF">
        <w:t xml:space="preserve">of a detainee </w:t>
      </w:r>
      <w:r w:rsidR="001931DF">
        <w:t>who has</w:t>
      </w:r>
      <w:r w:rsidR="005F73AF">
        <w:t xml:space="preserve"> been identified as </w:t>
      </w:r>
      <w:r w:rsidR="001931DF">
        <w:t>voluntarily</w:t>
      </w:r>
      <w:r w:rsidR="005F73AF">
        <w:t xml:space="preserve"> starving themselves shall be </w:t>
      </w:r>
      <w:r w:rsidR="001F7046">
        <w:t xml:space="preserve">medically </w:t>
      </w:r>
      <w:r w:rsidR="005F73AF">
        <w:t xml:space="preserve">managed in accordance with </w:t>
      </w:r>
      <w:hyperlink r:id="rId18" w:history="1">
        <w:r w:rsidR="0014100E" w:rsidRPr="00113978">
          <w:rPr>
            <w:rStyle w:val="Hyperlink"/>
          </w:rPr>
          <w:t>Health Services Policy</w:t>
        </w:r>
        <w:r w:rsidR="00113978" w:rsidRPr="00113978">
          <w:rPr>
            <w:rStyle w:val="Hyperlink"/>
          </w:rPr>
          <w:t xml:space="preserve"> and Procedure</w:t>
        </w:r>
        <w:r w:rsidR="001A2473">
          <w:rPr>
            <w:rStyle w:val="Hyperlink"/>
          </w:rPr>
          <w:t>s</w:t>
        </w:r>
        <w:r w:rsidR="00B45ABE" w:rsidRPr="00203EE2">
          <w:t>.</w:t>
        </w:r>
      </w:hyperlink>
    </w:p>
    <w:p w14:paraId="2632DFC5" w14:textId="77777777" w:rsidR="00203EE2" w:rsidRDefault="00203EE2">
      <w:bookmarkStart w:id="2" w:name="_Toc43110790"/>
      <w:r>
        <w:rPr>
          <w:b/>
          <w:bCs/>
        </w:rPr>
        <w:br w:type="page"/>
      </w:r>
    </w:p>
    <w:p w14:paraId="44DCF06C" w14:textId="247E0933" w:rsidR="000755EE" w:rsidRDefault="00D950BB" w:rsidP="00203EE2">
      <w:pPr>
        <w:pStyle w:val="Heading1"/>
      </w:pPr>
      <w:r>
        <w:lastRenderedPageBreak/>
        <w:t>Observation or Concerns</w:t>
      </w:r>
      <w:bookmarkEnd w:id="2"/>
    </w:p>
    <w:p w14:paraId="6B002CC8" w14:textId="30E444D1" w:rsidR="00AA1734" w:rsidRDefault="00D950BB" w:rsidP="00203EE2">
      <w:pPr>
        <w:pStyle w:val="Heading2"/>
      </w:pPr>
      <w:bookmarkStart w:id="3" w:name="_Toc43110791"/>
      <w:r>
        <w:t>Identification</w:t>
      </w:r>
      <w:bookmarkEnd w:id="3"/>
    </w:p>
    <w:p w14:paraId="00C2F4CA" w14:textId="219EDE82" w:rsidR="00F01703" w:rsidRDefault="00F01703" w:rsidP="00203EE2">
      <w:pPr>
        <w:pStyle w:val="Heading3"/>
      </w:pPr>
      <w:bookmarkStart w:id="4" w:name="_Toc27374162"/>
      <w:r>
        <w:t>Observation and indication of a detainee who may be voluntar</w:t>
      </w:r>
      <w:r w:rsidR="00466731">
        <w:t>il</w:t>
      </w:r>
      <w:r>
        <w:t>y starving themselves may include the following (but is not limited to)</w:t>
      </w:r>
      <w:bookmarkEnd w:id="4"/>
      <w:r w:rsidR="00CF1431">
        <w:t>:</w:t>
      </w:r>
    </w:p>
    <w:p w14:paraId="52358DDF" w14:textId="77777777" w:rsidR="00F01703" w:rsidRDefault="00842888" w:rsidP="00B45ABE">
      <w:pPr>
        <w:pStyle w:val="ListParagraph"/>
        <w:numPr>
          <w:ilvl w:val="0"/>
          <w:numId w:val="18"/>
        </w:numPr>
        <w:tabs>
          <w:tab w:val="left" w:pos="1134"/>
        </w:tabs>
        <w:spacing w:before="120" w:after="120"/>
        <w:ind w:left="993" w:hanging="284"/>
        <w:contextualSpacing w:val="0"/>
      </w:pPr>
      <w:r>
        <w:t>not eating food offered</w:t>
      </w:r>
    </w:p>
    <w:p w14:paraId="6B908F75" w14:textId="51AF2466" w:rsidR="00842888" w:rsidRDefault="00872A8D" w:rsidP="00B45ABE">
      <w:pPr>
        <w:pStyle w:val="ListParagraph"/>
        <w:numPr>
          <w:ilvl w:val="0"/>
          <w:numId w:val="18"/>
        </w:numPr>
        <w:tabs>
          <w:tab w:val="left" w:pos="1134"/>
        </w:tabs>
        <w:spacing w:before="120" w:after="120"/>
        <w:ind w:left="993" w:hanging="284"/>
        <w:contextualSpacing w:val="0"/>
      </w:pPr>
      <w:r>
        <w:t xml:space="preserve">excessive </w:t>
      </w:r>
      <w:r w:rsidR="00842888">
        <w:t>storage</w:t>
      </w:r>
      <w:r>
        <w:t xml:space="preserve"> or hiding</w:t>
      </w:r>
      <w:r w:rsidR="00842888">
        <w:t xml:space="preserve"> of food in cell</w:t>
      </w:r>
    </w:p>
    <w:p w14:paraId="23DC72F1" w14:textId="59DAE00D" w:rsidR="00A33B52" w:rsidRDefault="00852982" w:rsidP="00B45ABE">
      <w:pPr>
        <w:pStyle w:val="ListParagraph"/>
        <w:numPr>
          <w:ilvl w:val="0"/>
          <w:numId w:val="18"/>
        </w:numPr>
        <w:tabs>
          <w:tab w:val="left" w:pos="1134"/>
        </w:tabs>
        <w:spacing w:before="120" w:after="120"/>
        <w:ind w:left="993" w:hanging="284"/>
        <w:contextualSpacing w:val="0"/>
      </w:pPr>
      <w:r>
        <w:t>avoiding meal times</w:t>
      </w:r>
    </w:p>
    <w:p w14:paraId="5B324FB5" w14:textId="77777777" w:rsidR="00A33B52" w:rsidRDefault="00A33B52" w:rsidP="00B45ABE">
      <w:pPr>
        <w:pStyle w:val="ListParagraph"/>
        <w:numPr>
          <w:ilvl w:val="0"/>
          <w:numId w:val="18"/>
        </w:numPr>
        <w:tabs>
          <w:tab w:val="left" w:pos="1134"/>
        </w:tabs>
        <w:spacing w:before="120" w:after="120"/>
        <w:ind w:left="993" w:hanging="284"/>
        <w:contextualSpacing w:val="0"/>
      </w:pPr>
      <w:r>
        <w:t>changes in behaviour.</w:t>
      </w:r>
    </w:p>
    <w:p w14:paraId="3428A986" w14:textId="287D0379" w:rsidR="00F757DB" w:rsidRDefault="004B5F4C" w:rsidP="00203EE2">
      <w:pPr>
        <w:pStyle w:val="Heading3"/>
      </w:pPr>
      <w:bookmarkStart w:id="5" w:name="_Toc27374163"/>
      <w:r>
        <w:t xml:space="preserve">Where a detainee is observed as missing </w:t>
      </w:r>
      <w:r w:rsidR="005267A4">
        <w:t>3</w:t>
      </w:r>
      <w:r>
        <w:t xml:space="preserve"> consecutive meals or </w:t>
      </w:r>
      <w:r w:rsidR="006A1AD3">
        <w:t xml:space="preserve">refuses food or fluids for more than </w:t>
      </w:r>
      <w:r w:rsidR="005267A4">
        <w:t>2</w:t>
      </w:r>
      <w:r w:rsidR="00466731">
        <w:t xml:space="preserve"> </w:t>
      </w:r>
      <w:r w:rsidR="006A1AD3">
        <w:t>consecutive shifts (including night shift) they are deemed as voluntarily starving.</w:t>
      </w:r>
      <w:bookmarkEnd w:id="5"/>
      <w:r w:rsidR="006A1AD3">
        <w:t xml:space="preserve"> </w:t>
      </w:r>
    </w:p>
    <w:p w14:paraId="16FC3A32" w14:textId="0FF6276E" w:rsidR="00E74451" w:rsidRPr="00E74451" w:rsidRDefault="00E74451" w:rsidP="00203EE2">
      <w:pPr>
        <w:pStyle w:val="Heading3"/>
      </w:pPr>
      <w:bookmarkStart w:id="6" w:name="_Toc27374164"/>
      <w:r>
        <w:t>The C</w:t>
      </w:r>
      <w:r w:rsidR="00466731">
        <w:t xml:space="preserve">ustodial </w:t>
      </w:r>
      <w:r>
        <w:t>O</w:t>
      </w:r>
      <w:r w:rsidR="00466731">
        <w:t>fficer</w:t>
      </w:r>
      <w:r>
        <w:t xml:space="preserve"> shall report </w:t>
      </w:r>
      <w:r w:rsidRPr="00E74451">
        <w:t xml:space="preserve">immediately to the Unit Manager (or </w:t>
      </w:r>
      <w:r w:rsidR="00B45ABE">
        <w:t>authorised Custodial Officer</w:t>
      </w:r>
      <w:r w:rsidRPr="00E74451">
        <w:t>)</w:t>
      </w:r>
      <w:r>
        <w:t xml:space="preserve"> where they have observed or </w:t>
      </w:r>
      <w:r w:rsidR="008968FC">
        <w:t xml:space="preserve">have concerns </w:t>
      </w:r>
      <w:r>
        <w:t xml:space="preserve">a detainee is voluntarily </w:t>
      </w:r>
      <w:r w:rsidR="00CA6E96">
        <w:t>starving</w:t>
      </w:r>
      <w:r>
        <w:t xml:space="preserve"> themselves.</w:t>
      </w:r>
      <w:bookmarkEnd w:id="6"/>
      <w:r>
        <w:t xml:space="preserve"> </w:t>
      </w:r>
    </w:p>
    <w:p w14:paraId="77026742" w14:textId="77777777" w:rsidR="006C3E6D" w:rsidRDefault="00852982" w:rsidP="00A8427D">
      <w:pPr>
        <w:pStyle w:val="Heading3"/>
      </w:pPr>
      <w:bookmarkStart w:id="7" w:name="_Toc27374166"/>
      <w:r>
        <w:t>The C</w:t>
      </w:r>
      <w:r w:rsidR="00466731">
        <w:t xml:space="preserve">ustodial </w:t>
      </w:r>
      <w:r>
        <w:t>O</w:t>
      </w:r>
      <w:r w:rsidR="00466731">
        <w:t>fficer</w:t>
      </w:r>
      <w:r>
        <w:t xml:space="preserve"> shall report immediately to the Unit Manager (</w:t>
      </w:r>
      <w:r w:rsidR="00B45ABE" w:rsidRPr="00E74451">
        <w:t xml:space="preserve">or </w:t>
      </w:r>
      <w:r w:rsidR="00B45ABE">
        <w:t>authorised Custodial Officer</w:t>
      </w:r>
      <w:r>
        <w:t>) where a detainee has informed the C</w:t>
      </w:r>
      <w:r w:rsidR="00466731">
        <w:t xml:space="preserve">ustodial </w:t>
      </w:r>
      <w:r>
        <w:t>O</w:t>
      </w:r>
      <w:r w:rsidR="00466731">
        <w:t>fficer</w:t>
      </w:r>
      <w:r>
        <w:t xml:space="preserve"> that they are voluntarily starving themselves.</w:t>
      </w:r>
      <w:bookmarkEnd w:id="7"/>
      <w:r>
        <w:t xml:space="preserve"> </w:t>
      </w:r>
    </w:p>
    <w:p w14:paraId="460F3F46" w14:textId="1E748441" w:rsidR="00887FF6" w:rsidRPr="00887FF6" w:rsidRDefault="00887FF6" w:rsidP="00A8427D">
      <w:pPr>
        <w:pStyle w:val="Heading3"/>
      </w:pPr>
      <w:r>
        <w:t xml:space="preserve">An incident report shall be completed in accordance with </w:t>
      </w:r>
      <w:hyperlink r:id="rId19" w:history="1">
        <w:r w:rsidRPr="006C3E6D">
          <w:rPr>
            <w:rStyle w:val="Hyperlink"/>
          </w:rPr>
          <w:t>COPP 8.1 Incident Reporting</w:t>
        </w:r>
      </w:hyperlink>
      <w:r>
        <w:t>.</w:t>
      </w:r>
    </w:p>
    <w:p w14:paraId="28ADD176" w14:textId="3E45285C" w:rsidR="00D260A7" w:rsidRDefault="00D260A7" w:rsidP="00203EE2">
      <w:pPr>
        <w:pStyle w:val="Heading2"/>
      </w:pPr>
      <w:bookmarkStart w:id="8" w:name="_Toc43110792"/>
      <w:r>
        <w:t>Initial management</w:t>
      </w:r>
      <w:bookmarkEnd w:id="8"/>
    </w:p>
    <w:p w14:paraId="6508F4E6" w14:textId="66CAF2BF" w:rsidR="00D260A7" w:rsidRDefault="006B6846" w:rsidP="00203EE2">
      <w:pPr>
        <w:pStyle w:val="Heading3"/>
      </w:pPr>
      <w:bookmarkStart w:id="9" w:name="_Toc27374168"/>
      <w:r>
        <w:t>The Unit Manager (</w:t>
      </w:r>
      <w:r w:rsidR="00B45ABE" w:rsidRPr="00E74451">
        <w:t xml:space="preserve">or </w:t>
      </w:r>
      <w:r w:rsidR="00B45ABE">
        <w:t>authorised Custodial Officer</w:t>
      </w:r>
      <w:r>
        <w:t xml:space="preserve">) </w:t>
      </w:r>
      <w:r w:rsidR="0057018C">
        <w:t>shall discuss with the detainee to determin</w:t>
      </w:r>
      <w:r w:rsidR="00872A8D">
        <w:t xml:space="preserve">e </w:t>
      </w:r>
      <w:r w:rsidR="0057018C">
        <w:t>the following</w:t>
      </w:r>
      <w:bookmarkEnd w:id="9"/>
      <w:r w:rsidR="00CF1431">
        <w:t>:</w:t>
      </w:r>
    </w:p>
    <w:p w14:paraId="10265046" w14:textId="1BA1A772" w:rsidR="0057018C" w:rsidRDefault="0057018C" w:rsidP="00200BCB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/>
        <w:ind w:left="993" w:hanging="284"/>
        <w:contextualSpacing w:val="0"/>
      </w:pPr>
      <w:r>
        <w:t>the reasons for voluntary starvation</w:t>
      </w:r>
    </w:p>
    <w:p w14:paraId="43C4DAAB" w14:textId="0CFA51AF" w:rsidR="0057018C" w:rsidRDefault="0057018C" w:rsidP="00200BCB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/>
        <w:ind w:left="993" w:hanging="284"/>
        <w:contextualSpacing w:val="0"/>
      </w:pPr>
      <w:r>
        <w:t>according to the detainee</w:t>
      </w:r>
      <w:r w:rsidR="00C16309">
        <w:t>,</w:t>
      </w:r>
      <w:r>
        <w:t xml:space="preserve"> when they commenced voluntary starvation</w:t>
      </w:r>
    </w:p>
    <w:p w14:paraId="1D342318" w14:textId="77DC93D3" w:rsidR="0057018C" w:rsidRDefault="00CC06D5" w:rsidP="00200BCB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/>
        <w:ind w:left="993" w:hanging="284"/>
        <w:contextualSpacing w:val="0"/>
      </w:pPr>
      <w:r>
        <w:t>other risks.</w:t>
      </w:r>
    </w:p>
    <w:p w14:paraId="28E4630F" w14:textId="6C9A3475" w:rsidR="00EF1F6F" w:rsidRDefault="003D5F4A" w:rsidP="00203EE2">
      <w:pPr>
        <w:pStyle w:val="Heading3"/>
      </w:pPr>
      <w:bookmarkStart w:id="10" w:name="_Toc27374169"/>
      <w:r>
        <w:t>The Unit Manager (</w:t>
      </w:r>
      <w:r w:rsidR="00200BCB" w:rsidRPr="00E74451">
        <w:t xml:space="preserve">or </w:t>
      </w:r>
      <w:r w:rsidR="00200BCB">
        <w:t>authorised Custodial Officer</w:t>
      </w:r>
      <w:r>
        <w:t xml:space="preserve">) </w:t>
      </w:r>
      <w:r w:rsidR="00D51543">
        <w:t xml:space="preserve">shall where possible, attempt to resolve any issues related to the reasons </w:t>
      </w:r>
      <w:r w:rsidR="00B52334">
        <w:t>why the detainee has been observed or declared they are voluntarily starving.</w:t>
      </w:r>
      <w:bookmarkEnd w:id="10"/>
      <w:r w:rsidR="00B52334">
        <w:t xml:space="preserve"> </w:t>
      </w:r>
    </w:p>
    <w:p w14:paraId="2237E0AA" w14:textId="3C484DDB" w:rsidR="00F01703" w:rsidRDefault="00C16309" w:rsidP="00203EE2">
      <w:pPr>
        <w:pStyle w:val="Heading2"/>
      </w:pPr>
      <w:bookmarkStart w:id="11" w:name="_Toc43110793"/>
      <w:r>
        <w:t>Escalations and n</w:t>
      </w:r>
      <w:r w:rsidR="00F01703">
        <w:t>otification</w:t>
      </w:r>
      <w:r>
        <w:t>s</w:t>
      </w:r>
      <w:bookmarkEnd w:id="11"/>
    </w:p>
    <w:p w14:paraId="5188D624" w14:textId="51FC16AB" w:rsidR="001A05F2" w:rsidRPr="001A05F2" w:rsidRDefault="00E74451" w:rsidP="00203EE2">
      <w:pPr>
        <w:pStyle w:val="Heading3"/>
      </w:pPr>
      <w:bookmarkStart w:id="12" w:name="_Toc27374171"/>
      <w:r>
        <w:t xml:space="preserve">The Unit Manager </w:t>
      </w:r>
      <w:r w:rsidR="0047619E" w:rsidRPr="0047619E">
        <w:t>(</w:t>
      </w:r>
      <w:r w:rsidR="00200BCB" w:rsidRPr="00E74451">
        <w:t xml:space="preserve">or </w:t>
      </w:r>
      <w:r w:rsidR="00200BCB">
        <w:t>authorised Custodial Officer</w:t>
      </w:r>
      <w:r w:rsidR="0047619E" w:rsidRPr="0047619E">
        <w:t>)</w:t>
      </w:r>
      <w:r w:rsidR="0047619E">
        <w:t xml:space="preserve"> shall notify the Superintendent where a detainee has been observed or has notified the C</w:t>
      </w:r>
      <w:r w:rsidR="00466731">
        <w:t xml:space="preserve">ustodial </w:t>
      </w:r>
      <w:r w:rsidR="006C3E6D">
        <w:t>Officer,</w:t>
      </w:r>
      <w:r w:rsidR="0047619E">
        <w:t xml:space="preserve"> they are voluntarily starving themselves</w:t>
      </w:r>
      <w:r w:rsidR="00371963">
        <w:t>. A</w:t>
      </w:r>
      <w:bookmarkEnd w:id="12"/>
      <w:r w:rsidR="00547CA5">
        <w:t>n incident report shall be submitted in accordance with COPP 8.1 Incident Reporting.</w:t>
      </w:r>
    </w:p>
    <w:p w14:paraId="27D7518A" w14:textId="1859E461" w:rsidR="001D7419" w:rsidRPr="001D7419" w:rsidRDefault="00872A8D" w:rsidP="00203EE2">
      <w:pPr>
        <w:pStyle w:val="Heading3"/>
      </w:pPr>
      <w:bookmarkStart w:id="13" w:name="_Toc27374172"/>
      <w:r>
        <w:t>The Unit Manager (</w:t>
      </w:r>
      <w:r w:rsidR="00200BCB" w:rsidRPr="00E74451">
        <w:t xml:space="preserve">or </w:t>
      </w:r>
      <w:r w:rsidR="00200BCB">
        <w:t>authorised Custodial Officer</w:t>
      </w:r>
      <w:r>
        <w:t>) shall immediately</w:t>
      </w:r>
      <w:r w:rsidR="00320304">
        <w:t xml:space="preserve"> inform BHDC </w:t>
      </w:r>
      <w:r w:rsidR="00282283">
        <w:t>Health S</w:t>
      </w:r>
      <w:r>
        <w:t xml:space="preserve">ervices </w:t>
      </w:r>
      <w:r w:rsidR="00320304">
        <w:t>staff</w:t>
      </w:r>
      <w:r>
        <w:t>.</w:t>
      </w:r>
      <w:bookmarkEnd w:id="13"/>
      <w:r>
        <w:t xml:space="preserve"> </w:t>
      </w:r>
    </w:p>
    <w:p w14:paraId="67292591" w14:textId="16108C90" w:rsidR="008143BD" w:rsidRDefault="008143BD" w:rsidP="00203EE2">
      <w:pPr>
        <w:pStyle w:val="Heading3"/>
      </w:pPr>
      <w:bookmarkStart w:id="14" w:name="_Toc27374173"/>
      <w:r>
        <w:t>The Superintendent (</w:t>
      </w:r>
      <w:r w:rsidR="00200BCB" w:rsidRPr="00E74451">
        <w:t xml:space="preserve">or </w:t>
      </w:r>
      <w:r w:rsidR="00200BCB">
        <w:t>authorised Custodial Officer</w:t>
      </w:r>
      <w:r>
        <w:t>) shall notify the detainee’s responsible adult as appropriate</w:t>
      </w:r>
      <w:r w:rsidR="00CE5342">
        <w:t>.</w:t>
      </w:r>
      <w:bookmarkEnd w:id="14"/>
    </w:p>
    <w:p w14:paraId="48EC539A" w14:textId="77777777" w:rsidR="001D7419" w:rsidRPr="001D7419" w:rsidRDefault="001D7419" w:rsidP="001D7419"/>
    <w:p w14:paraId="098BF102" w14:textId="4E688E47" w:rsidR="001A05F2" w:rsidRDefault="00F31F68" w:rsidP="00203EE2">
      <w:pPr>
        <w:pStyle w:val="Heading3"/>
      </w:pPr>
      <w:bookmarkStart w:id="15" w:name="_Toc27374174"/>
      <w:r>
        <w:lastRenderedPageBreak/>
        <w:t>The Superintendent (</w:t>
      </w:r>
      <w:r w:rsidR="00200BCB" w:rsidRPr="00E74451">
        <w:t xml:space="preserve">or </w:t>
      </w:r>
      <w:r w:rsidR="00200BCB">
        <w:t>authorised Custodial Officer</w:t>
      </w:r>
      <w:r>
        <w:t>) shall notify the Deputy Commissioner Women and Young People of a detainee who is voluntarily starving themselves.</w:t>
      </w:r>
      <w:bookmarkEnd w:id="15"/>
    </w:p>
    <w:p w14:paraId="1C272624" w14:textId="6988AC5D" w:rsidR="00CE5342" w:rsidRPr="00CE5342" w:rsidRDefault="00CE5342" w:rsidP="00EB09F5">
      <w:pPr>
        <w:pStyle w:val="Heading3"/>
      </w:pPr>
      <w:r>
        <w:t>All notifications and actions shall be documented in TOMS.</w:t>
      </w:r>
    </w:p>
    <w:p w14:paraId="29935FCF" w14:textId="77777777" w:rsidR="00277880" w:rsidRDefault="00CB2355" w:rsidP="00203EE2">
      <w:pPr>
        <w:pStyle w:val="Heading2"/>
      </w:pPr>
      <w:bookmarkStart w:id="16" w:name="_Toc43110794"/>
      <w:r>
        <w:t>Management</w:t>
      </w:r>
      <w:bookmarkEnd w:id="16"/>
      <w:r>
        <w:t xml:space="preserve"> </w:t>
      </w:r>
    </w:p>
    <w:p w14:paraId="55CBE33A" w14:textId="09D38345" w:rsidR="008143BD" w:rsidRPr="008143BD" w:rsidRDefault="003D6DFF" w:rsidP="00203EE2">
      <w:pPr>
        <w:pStyle w:val="Heading3"/>
      </w:pPr>
      <w:bookmarkStart w:id="17" w:name="_Toc27374176"/>
      <w:r>
        <w:t>A</w:t>
      </w:r>
      <w:r w:rsidR="00CC266B">
        <w:t xml:space="preserve"> detainee </w:t>
      </w:r>
      <w:r>
        <w:t>that</w:t>
      </w:r>
      <w:r w:rsidR="001D022A">
        <w:t xml:space="preserve"> is voluntarily starving themselves shall be managed </w:t>
      </w:r>
      <w:r w:rsidR="00CC266B">
        <w:t xml:space="preserve">in accordance with </w:t>
      </w:r>
      <w:bookmarkEnd w:id="17"/>
      <w:r w:rsidR="00200BCB">
        <w:rPr>
          <w:rStyle w:val="Hyperlink"/>
        </w:rPr>
        <w:fldChar w:fldCharType="begin"/>
      </w:r>
      <w:r w:rsidR="00200BCB">
        <w:rPr>
          <w:rStyle w:val="Hyperlink"/>
        </w:rPr>
        <w:instrText xml:space="preserve"> HYPERLINK "http://justus/communities/health-services/Pages/Policy-and-Procedure.aspx" </w:instrText>
      </w:r>
      <w:r w:rsidR="00200BCB">
        <w:rPr>
          <w:rStyle w:val="Hyperlink"/>
        </w:rPr>
        <w:fldChar w:fldCharType="separate"/>
      </w:r>
      <w:r w:rsidR="00200BCB" w:rsidRPr="00200BCB">
        <w:rPr>
          <w:rStyle w:val="Hyperlink"/>
        </w:rPr>
        <w:t>Health Services Policy</w:t>
      </w:r>
      <w:r w:rsidR="00113978">
        <w:rPr>
          <w:rStyle w:val="Hyperlink"/>
        </w:rPr>
        <w:t xml:space="preserve"> and Procedure</w:t>
      </w:r>
      <w:r w:rsidR="001A2473">
        <w:rPr>
          <w:rStyle w:val="Hyperlink"/>
        </w:rPr>
        <w:t>s</w:t>
      </w:r>
      <w:r w:rsidR="00200BCB" w:rsidRPr="00203EE2">
        <w:t>.</w:t>
      </w:r>
      <w:r w:rsidR="00200BCB">
        <w:rPr>
          <w:rStyle w:val="Hyperlink"/>
        </w:rPr>
        <w:fldChar w:fldCharType="end"/>
      </w:r>
    </w:p>
    <w:p w14:paraId="7C111879" w14:textId="1A07A9AF" w:rsidR="00BD19BD" w:rsidRPr="00BD19BD" w:rsidRDefault="001F099B" w:rsidP="00203EE2">
      <w:pPr>
        <w:pStyle w:val="Heading3"/>
      </w:pPr>
      <w:bookmarkStart w:id="18" w:name="_Toc27374178"/>
      <w:r>
        <w:t>The Unit Manager (</w:t>
      </w:r>
      <w:r w:rsidR="00200BCB" w:rsidRPr="00E74451">
        <w:t xml:space="preserve">or </w:t>
      </w:r>
      <w:r w:rsidR="00200BCB">
        <w:t>authorised Custodial Officer</w:t>
      </w:r>
      <w:r>
        <w:t>) shall liaise with H</w:t>
      </w:r>
      <w:r w:rsidR="00E06470">
        <w:t xml:space="preserve">ealth </w:t>
      </w:r>
      <w:r>
        <w:t>S</w:t>
      </w:r>
      <w:r w:rsidR="00E06470">
        <w:t>ervices</w:t>
      </w:r>
      <w:r>
        <w:t xml:space="preserve"> staff on a regular basis to determine ongoing care.</w:t>
      </w:r>
      <w:bookmarkEnd w:id="18"/>
    </w:p>
    <w:p w14:paraId="34C37691" w14:textId="20B4AA45" w:rsidR="00B875DB" w:rsidRPr="00B875DB" w:rsidRDefault="0023740C" w:rsidP="00203EE2">
      <w:pPr>
        <w:pStyle w:val="Heading3"/>
      </w:pPr>
      <w:bookmarkStart w:id="19" w:name="_Toc27374179"/>
      <w:r>
        <w:t xml:space="preserve">A detainee may be considered for management on a Personal Support Plan (PSP) in accordance with </w:t>
      </w:r>
      <w:hyperlink r:id="rId20" w:history="1">
        <w:r w:rsidR="00896850" w:rsidRPr="00896850">
          <w:rPr>
            <w:rStyle w:val="Hyperlink"/>
          </w:rPr>
          <w:t>COPP 7.6</w:t>
        </w:r>
        <w:r w:rsidRPr="00896850">
          <w:rPr>
            <w:rStyle w:val="Hyperlink"/>
          </w:rPr>
          <w:t xml:space="preserve"> </w:t>
        </w:r>
        <w:r w:rsidR="00547A1A" w:rsidRPr="00896850">
          <w:rPr>
            <w:rStyle w:val="Hyperlink"/>
          </w:rPr>
          <w:t xml:space="preserve">– </w:t>
        </w:r>
        <w:r w:rsidRPr="00896850">
          <w:rPr>
            <w:rStyle w:val="Hyperlink"/>
          </w:rPr>
          <w:t>Personal Support Plans</w:t>
        </w:r>
        <w:r w:rsidRPr="00203EE2">
          <w:t>.</w:t>
        </w:r>
        <w:bookmarkEnd w:id="19"/>
      </w:hyperlink>
    </w:p>
    <w:p w14:paraId="15CF62B7" w14:textId="77777777" w:rsidR="003D000E" w:rsidRDefault="003D000E" w:rsidP="00203EE2">
      <w:pPr>
        <w:pStyle w:val="Heading2"/>
      </w:pPr>
      <w:bookmarkStart w:id="20" w:name="_Toc43110795"/>
      <w:r>
        <w:t>Reporting</w:t>
      </w:r>
      <w:bookmarkEnd w:id="20"/>
    </w:p>
    <w:p w14:paraId="4BCFD3BA" w14:textId="2D52F4C7" w:rsidR="00C74E00" w:rsidRPr="00C74E00" w:rsidRDefault="00C74E00" w:rsidP="00203EE2">
      <w:pPr>
        <w:pStyle w:val="Heading3"/>
      </w:pPr>
      <w:bookmarkStart w:id="21" w:name="_Toc27374181"/>
      <w:r>
        <w:t>The C</w:t>
      </w:r>
      <w:r w:rsidR="00466731">
        <w:t xml:space="preserve">ustodial </w:t>
      </w:r>
      <w:r>
        <w:t>O</w:t>
      </w:r>
      <w:r w:rsidR="00466731">
        <w:t>fficer</w:t>
      </w:r>
      <w:r>
        <w:t xml:space="preserve"> shall report all voluntary starvation incidents on T</w:t>
      </w:r>
      <w:r w:rsidR="000F53EB">
        <w:t xml:space="preserve">otal </w:t>
      </w:r>
      <w:r>
        <w:t>O</w:t>
      </w:r>
      <w:r w:rsidR="000F53EB">
        <w:t xml:space="preserve">ffender </w:t>
      </w:r>
      <w:r>
        <w:t>M</w:t>
      </w:r>
      <w:r w:rsidR="000F53EB">
        <w:t xml:space="preserve">anagement </w:t>
      </w:r>
      <w:r>
        <w:t>S</w:t>
      </w:r>
      <w:r w:rsidR="000F53EB">
        <w:t>olution (TOMS)</w:t>
      </w:r>
      <w:r>
        <w:t xml:space="preserve"> in accordance with </w:t>
      </w:r>
      <w:hyperlink r:id="rId21" w:history="1">
        <w:r w:rsidRPr="00896850">
          <w:rPr>
            <w:rStyle w:val="Hyperlink"/>
          </w:rPr>
          <w:t xml:space="preserve">COPP 8.1 </w:t>
        </w:r>
        <w:r w:rsidR="00547A1A" w:rsidRPr="00896850">
          <w:rPr>
            <w:rStyle w:val="Hyperlink"/>
          </w:rPr>
          <w:t xml:space="preserve">– </w:t>
        </w:r>
        <w:r w:rsidRPr="00896850">
          <w:rPr>
            <w:rStyle w:val="Hyperlink"/>
          </w:rPr>
          <w:t>Incident Reporting</w:t>
        </w:r>
        <w:r w:rsidRPr="00203EE2">
          <w:t>.</w:t>
        </w:r>
        <w:bookmarkEnd w:id="21"/>
      </w:hyperlink>
    </w:p>
    <w:p w14:paraId="7ADB6D57" w14:textId="77777777" w:rsidR="00547A1A" w:rsidRPr="00203EE2" w:rsidRDefault="00547A1A" w:rsidP="00203EE2">
      <w:r>
        <w:br w:type="page"/>
      </w:r>
    </w:p>
    <w:p w14:paraId="16A143D9" w14:textId="5B7433C1" w:rsidR="00A90B02" w:rsidRPr="00A90B02" w:rsidRDefault="003D708E" w:rsidP="00203EE2">
      <w:pPr>
        <w:pStyle w:val="Heading1"/>
      </w:pPr>
      <w:bookmarkStart w:id="22" w:name="_Toc43110796"/>
      <w:r w:rsidRPr="00203EE2">
        <w:lastRenderedPageBreak/>
        <w:t>Annexures</w:t>
      </w:r>
      <w:bookmarkEnd w:id="22"/>
    </w:p>
    <w:p w14:paraId="65C16288" w14:textId="7D6DA79E" w:rsidR="003D708E" w:rsidRPr="00203EE2" w:rsidRDefault="00896850" w:rsidP="00203EE2">
      <w:pPr>
        <w:pStyle w:val="Heading2"/>
      </w:pPr>
      <w:bookmarkStart w:id="23" w:name="_Toc43110797"/>
      <w:r w:rsidRPr="00203EE2">
        <w:t>Related COPPs</w:t>
      </w:r>
      <w:r w:rsidR="003D708E" w:rsidRPr="00203EE2">
        <w:t xml:space="preserve"> and </w:t>
      </w:r>
      <w:r w:rsidRPr="00203EE2">
        <w:t xml:space="preserve">other </w:t>
      </w:r>
      <w:r w:rsidR="003D708E" w:rsidRPr="00203EE2">
        <w:t>documents</w:t>
      </w:r>
      <w:bookmarkEnd w:id="23"/>
    </w:p>
    <w:p w14:paraId="310431F0" w14:textId="77777777" w:rsidR="00A90B02" w:rsidRPr="00203EE2" w:rsidRDefault="00A90B02" w:rsidP="00203EE2"/>
    <w:p w14:paraId="7713A81B" w14:textId="482511B0" w:rsidR="00896850" w:rsidRPr="00203EE2" w:rsidRDefault="00896850" w:rsidP="00203EE2">
      <w:pPr>
        <w:spacing w:after="120"/>
        <w:rPr>
          <w:b/>
          <w:bCs/>
        </w:rPr>
      </w:pPr>
      <w:r w:rsidRPr="00203EE2">
        <w:rPr>
          <w:b/>
          <w:bCs/>
        </w:rPr>
        <w:t>Related COPPs</w:t>
      </w:r>
    </w:p>
    <w:p w14:paraId="7FC07DA9" w14:textId="3E5B4C7E" w:rsidR="0023740C" w:rsidRPr="0023740C" w:rsidRDefault="00D10A32" w:rsidP="00203EE2">
      <w:pPr>
        <w:pStyle w:val="ListBullet"/>
      </w:pPr>
      <w:hyperlink r:id="rId22" w:history="1">
        <w:r w:rsidR="00896850">
          <w:rPr>
            <w:rStyle w:val="Hyperlink"/>
          </w:rPr>
          <w:t>COPP 7.6</w:t>
        </w:r>
        <w:r w:rsidR="0023740C" w:rsidRPr="00896850">
          <w:rPr>
            <w:rStyle w:val="Hyperlink"/>
          </w:rPr>
          <w:t xml:space="preserve"> </w:t>
        </w:r>
        <w:r w:rsidR="00547A1A" w:rsidRPr="00896850">
          <w:rPr>
            <w:rStyle w:val="Hyperlink"/>
          </w:rPr>
          <w:t xml:space="preserve">– </w:t>
        </w:r>
        <w:r w:rsidR="0023740C" w:rsidRPr="00896850">
          <w:rPr>
            <w:rStyle w:val="Hyperlink"/>
          </w:rPr>
          <w:t>Personal Support Plans</w:t>
        </w:r>
      </w:hyperlink>
    </w:p>
    <w:p w14:paraId="46BCCB70" w14:textId="73AA9866" w:rsidR="005D4F4B" w:rsidRDefault="00D10A32" w:rsidP="00203EE2">
      <w:pPr>
        <w:pStyle w:val="ListBullet"/>
      </w:pPr>
      <w:hyperlink r:id="rId23" w:history="1">
        <w:r w:rsidR="005D4F4B" w:rsidRPr="00896850">
          <w:rPr>
            <w:rStyle w:val="Hyperlink"/>
          </w:rPr>
          <w:t xml:space="preserve">COPP 8.1 </w:t>
        </w:r>
        <w:r w:rsidR="00547A1A" w:rsidRPr="00896850">
          <w:rPr>
            <w:rStyle w:val="Hyperlink"/>
          </w:rPr>
          <w:t xml:space="preserve">– </w:t>
        </w:r>
        <w:r w:rsidR="005D4F4B" w:rsidRPr="00896850">
          <w:rPr>
            <w:rStyle w:val="Hyperlink"/>
          </w:rPr>
          <w:t>Incident Reporting</w:t>
        </w:r>
        <w:r w:rsidR="005D4F4B" w:rsidRPr="00203EE2">
          <w:t>.</w:t>
        </w:r>
      </w:hyperlink>
    </w:p>
    <w:p w14:paraId="2B41097D" w14:textId="77777777" w:rsidR="00896850" w:rsidRPr="00203EE2" w:rsidRDefault="00896850" w:rsidP="00203EE2"/>
    <w:p w14:paraId="736A84B7" w14:textId="77777777" w:rsidR="00113978" w:rsidRDefault="00896850" w:rsidP="00203EE2">
      <w:pPr>
        <w:spacing w:after="120"/>
        <w:rPr>
          <w:b/>
        </w:rPr>
      </w:pPr>
      <w:r w:rsidRPr="00896850">
        <w:rPr>
          <w:b/>
        </w:rPr>
        <w:t>Other documents</w:t>
      </w:r>
    </w:p>
    <w:p w14:paraId="70545846" w14:textId="0D2219A6" w:rsidR="00113978" w:rsidRPr="00113978" w:rsidRDefault="00D10A32" w:rsidP="00203EE2">
      <w:pPr>
        <w:pStyle w:val="ListBullet"/>
      </w:pPr>
      <w:hyperlink r:id="rId24" w:history="1">
        <w:r w:rsidR="00113978" w:rsidRPr="00A90B02">
          <w:rPr>
            <w:rStyle w:val="Hyperlink"/>
          </w:rPr>
          <w:t>Australasian Youth Justice Administrators Standards, 2009</w:t>
        </w:r>
      </w:hyperlink>
    </w:p>
    <w:p w14:paraId="5E77F3C5" w14:textId="24647368" w:rsidR="00896850" w:rsidRPr="00113978" w:rsidRDefault="00D10A32" w:rsidP="00203EE2">
      <w:pPr>
        <w:pStyle w:val="ListBullet"/>
      </w:pPr>
      <w:hyperlink r:id="rId25" w:history="1">
        <w:r w:rsidR="00113978" w:rsidRPr="00A90B02">
          <w:rPr>
            <w:rStyle w:val="Hyperlink"/>
          </w:rPr>
          <w:t xml:space="preserve">Australian Human Rights Commission National Principles for Child Safe Organisations, </w:t>
        </w:r>
        <w:r w:rsidR="00E70327" w:rsidRPr="00A90B02">
          <w:rPr>
            <w:rStyle w:val="Hyperlink"/>
          </w:rPr>
          <w:t>2019</w:t>
        </w:r>
      </w:hyperlink>
    </w:p>
    <w:p w14:paraId="29B01F16" w14:textId="14B122C8" w:rsidR="00A90B02" w:rsidRPr="00203EE2" w:rsidRDefault="00D10A32" w:rsidP="00203EE2">
      <w:pPr>
        <w:pStyle w:val="ListBullet"/>
      </w:pPr>
      <w:hyperlink r:id="rId26" w:history="1">
        <w:r w:rsidR="00896850" w:rsidRPr="00896850">
          <w:rPr>
            <w:rStyle w:val="Hyperlink"/>
          </w:rPr>
          <w:t>Health Services Policy</w:t>
        </w:r>
        <w:r w:rsidR="00113978">
          <w:rPr>
            <w:rStyle w:val="Hyperlink"/>
          </w:rPr>
          <w:t xml:space="preserve"> and Procedure</w:t>
        </w:r>
        <w:r w:rsidR="001A2473">
          <w:rPr>
            <w:rStyle w:val="Hyperlink"/>
          </w:rPr>
          <w:t>s</w:t>
        </w:r>
        <w:r w:rsidR="005D4F4B" w:rsidRPr="00203EE2">
          <w:t>.</w:t>
        </w:r>
      </w:hyperlink>
    </w:p>
    <w:p w14:paraId="65801FFE" w14:textId="77777777" w:rsidR="003D708E" w:rsidRPr="00203EE2" w:rsidRDefault="003D708E" w:rsidP="00203EE2">
      <w:pPr>
        <w:pStyle w:val="Heading2"/>
      </w:pPr>
      <w:bookmarkStart w:id="24" w:name="_Toc43110798"/>
      <w:r w:rsidRPr="00203EE2">
        <w:t>Definitions and acronyms</w:t>
      </w:r>
      <w:bookmarkEnd w:id="24"/>
    </w:p>
    <w:p w14:paraId="7F5838A6" w14:textId="77777777" w:rsidR="003D708E" w:rsidRPr="003D708E" w:rsidRDefault="003D708E" w:rsidP="003D708E"/>
    <w:tbl>
      <w:tblPr>
        <w:tblStyle w:val="DCStable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6763"/>
      </w:tblGrid>
      <w:tr w:rsidR="000B60F5" w:rsidRPr="00472498" w14:paraId="72191E37" w14:textId="77777777" w:rsidTr="006C3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05" w:type="dxa"/>
          </w:tcPr>
          <w:p w14:paraId="259CAFEE" w14:textId="1B0EFA23" w:rsidR="000B60F5" w:rsidRPr="00472498" w:rsidRDefault="000B60F5" w:rsidP="000B60F5">
            <w:pPr>
              <w:pStyle w:val="Tableheading"/>
            </w:pPr>
            <w:r>
              <w:t>Term</w:t>
            </w:r>
          </w:p>
        </w:tc>
        <w:tc>
          <w:tcPr>
            <w:tcW w:w="6763" w:type="dxa"/>
          </w:tcPr>
          <w:p w14:paraId="07160060" w14:textId="289EC085" w:rsidR="000B60F5" w:rsidRPr="00472498" w:rsidRDefault="000B60F5" w:rsidP="000B60F5">
            <w:pPr>
              <w:pStyle w:val="Tableheading"/>
            </w:pPr>
            <w:r>
              <w:t>Definition</w:t>
            </w:r>
          </w:p>
        </w:tc>
      </w:tr>
      <w:tr w:rsidR="00360E31" w:rsidRPr="00472498" w14:paraId="4836521B" w14:textId="77777777" w:rsidTr="000B60F5">
        <w:tc>
          <w:tcPr>
            <w:tcW w:w="2405" w:type="dxa"/>
          </w:tcPr>
          <w:p w14:paraId="785C3D24" w14:textId="77777777" w:rsidR="00360E31" w:rsidRPr="00472498" w:rsidRDefault="00360E31" w:rsidP="000B60F5">
            <w:pPr>
              <w:pStyle w:val="Tabledata"/>
            </w:pPr>
            <w:r w:rsidRPr="00472498">
              <w:t>Banksia Hill Detention Centre (BHDC)</w:t>
            </w:r>
          </w:p>
        </w:tc>
        <w:tc>
          <w:tcPr>
            <w:tcW w:w="6763" w:type="dxa"/>
          </w:tcPr>
          <w:p w14:paraId="05A28E36" w14:textId="3D403CA2" w:rsidR="00360E31" w:rsidRPr="00472498" w:rsidRDefault="00360E31" w:rsidP="000B60F5">
            <w:pPr>
              <w:pStyle w:val="Tabledata"/>
            </w:pPr>
            <w:r w:rsidRPr="00472498">
              <w:t>BHDC is the gazetted detention centre declared by the Minister to be a detention centre to accommodate male and female, remanded or sentenced detainees. Refer to s</w:t>
            </w:r>
            <w:r w:rsidR="000B60F5">
              <w:t xml:space="preserve"> </w:t>
            </w:r>
            <w:r w:rsidRPr="00472498">
              <w:t xml:space="preserve">13 of </w:t>
            </w:r>
            <w:r w:rsidRPr="00472498">
              <w:rPr>
                <w:i/>
              </w:rPr>
              <w:t>Young Offenders Act 1994.</w:t>
            </w:r>
          </w:p>
        </w:tc>
      </w:tr>
      <w:tr w:rsidR="00360E31" w:rsidRPr="00344FBE" w14:paraId="4E413884" w14:textId="77777777" w:rsidTr="000B60F5">
        <w:tc>
          <w:tcPr>
            <w:tcW w:w="2405" w:type="dxa"/>
          </w:tcPr>
          <w:p w14:paraId="66F8C141" w14:textId="0163910F" w:rsidR="00360E31" w:rsidRPr="005435AD" w:rsidRDefault="00360E31" w:rsidP="000B60F5">
            <w:pPr>
              <w:pStyle w:val="Tabledata"/>
            </w:pPr>
            <w:r w:rsidRPr="00AD59CD">
              <w:t xml:space="preserve">Commissioner’s </w:t>
            </w:r>
            <w:r w:rsidR="00547A1A">
              <w:t xml:space="preserve">Operating </w:t>
            </w:r>
            <w:r w:rsidRPr="00AD59CD">
              <w:t>Policy and Procedure (COPP)</w:t>
            </w:r>
          </w:p>
        </w:tc>
        <w:tc>
          <w:tcPr>
            <w:tcW w:w="6763" w:type="dxa"/>
          </w:tcPr>
          <w:p w14:paraId="701AC695" w14:textId="7059F53B" w:rsidR="00360E31" w:rsidRPr="00344FBE" w:rsidRDefault="00896850" w:rsidP="000B60F5">
            <w:pPr>
              <w:pStyle w:val="Tabledata"/>
            </w:pPr>
            <w:r w:rsidRPr="00DB0114">
              <w:rPr>
                <w:rFonts w:cs="Arial"/>
              </w:rPr>
              <w:t>COPPs are policy documents that provide instructions to staff as to how the relevant legislative requirements are implemented.</w:t>
            </w:r>
          </w:p>
        </w:tc>
      </w:tr>
      <w:tr w:rsidR="00B53112" w:rsidRPr="00B94888" w14:paraId="2FE7C5DB" w14:textId="77777777" w:rsidTr="000B60F5">
        <w:tc>
          <w:tcPr>
            <w:tcW w:w="2405" w:type="dxa"/>
          </w:tcPr>
          <w:p w14:paraId="400C71B5" w14:textId="77777777" w:rsidR="00B53112" w:rsidRPr="00B94888" w:rsidRDefault="00B53112" w:rsidP="000B60F5">
            <w:pPr>
              <w:pStyle w:val="Tabledata"/>
            </w:pPr>
            <w:r w:rsidRPr="00DE4C17">
              <w:t>Public Service Officer</w:t>
            </w:r>
          </w:p>
        </w:tc>
        <w:tc>
          <w:tcPr>
            <w:tcW w:w="6763" w:type="dxa"/>
          </w:tcPr>
          <w:p w14:paraId="38730731" w14:textId="77777777" w:rsidR="00B53112" w:rsidRPr="00B94888" w:rsidRDefault="00B53112" w:rsidP="000B60F5">
            <w:pPr>
              <w:pStyle w:val="Tabledata"/>
            </w:pPr>
            <w:r w:rsidRPr="00DE4C17">
              <w:t xml:space="preserve">An officer employed in the State Government Public Service, subject to Part 3 of the </w:t>
            </w:r>
            <w:r w:rsidRPr="00DE4C17">
              <w:rPr>
                <w:i/>
              </w:rPr>
              <w:t>Public Sector Management Act 1994</w:t>
            </w:r>
            <w:r w:rsidRPr="00DE4C17">
              <w:t xml:space="preserve"> and includes such officers and other persons as are necessary to implement or administer this Act.</w:t>
            </w:r>
          </w:p>
        </w:tc>
      </w:tr>
      <w:tr w:rsidR="00B53112" w:rsidRPr="00DE4C17" w14:paraId="11EA93BF" w14:textId="77777777" w:rsidTr="000B60F5">
        <w:tc>
          <w:tcPr>
            <w:tcW w:w="2405" w:type="dxa"/>
          </w:tcPr>
          <w:p w14:paraId="699E4157" w14:textId="2AB8D92D" w:rsidR="00B53112" w:rsidRPr="00DE4C17" w:rsidRDefault="00B53112" w:rsidP="000B60F5">
            <w:pPr>
              <w:pStyle w:val="Tabledata"/>
            </w:pPr>
            <w:r w:rsidRPr="00FD60B0">
              <w:t>Senior Officer</w:t>
            </w:r>
          </w:p>
        </w:tc>
        <w:tc>
          <w:tcPr>
            <w:tcW w:w="6763" w:type="dxa"/>
          </w:tcPr>
          <w:p w14:paraId="773D9E30" w14:textId="77777777" w:rsidR="00B53112" w:rsidRPr="00DE4C17" w:rsidRDefault="00B53112" w:rsidP="000B60F5">
            <w:pPr>
              <w:pStyle w:val="Tabledata"/>
            </w:pPr>
            <w:r w:rsidRPr="00FD60B0">
              <w:t xml:space="preserve">A Youth Custodial Officer who is substantive to this rank, or a Unit Manager, or Youth Custodial Officer acting in the capacity of Senior Officer, appointed by the Chief Executive Officer with reference to s11 of the </w:t>
            </w:r>
            <w:r w:rsidRPr="00FD60B0">
              <w:rPr>
                <w:i/>
              </w:rPr>
              <w:t>Young Offenders Act 1994</w:t>
            </w:r>
          </w:p>
        </w:tc>
      </w:tr>
      <w:tr w:rsidR="00B53112" w:rsidRPr="00FD60B0" w14:paraId="652C714C" w14:textId="77777777" w:rsidTr="000B60F5">
        <w:tc>
          <w:tcPr>
            <w:tcW w:w="2405" w:type="dxa"/>
          </w:tcPr>
          <w:p w14:paraId="6F32C70C" w14:textId="77777777" w:rsidR="00B53112" w:rsidRPr="00FD60B0" w:rsidRDefault="00B53112" w:rsidP="000B60F5">
            <w:pPr>
              <w:pStyle w:val="Tabledata"/>
            </w:pPr>
            <w:r w:rsidRPr="00C81B34">
              <w:t>Staff</w:t>
            </w:r>
          </w:p>
        </w:tc>
        <w:tc>
          <w:tcPr>
            <w:tcW w:w="6763" w:type="dxa"/>
          </w:tcPr>
          <w:p w14:paraId="0A0B0E33" w14:textId="77777777" w:rsidR="00B53112" w:rsidRPr="00FD60B0" w:rsidRDefault="00B53112" w:rsidP="000B60F5">
            <w:pPr>
              <w:pStyle w:val="Tabledata"/>
            </w:pPr>
            <w:r w:rsidRPr="00C81B34">
              <w:t>Any employee or officer 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B53112" w:rsidRPr="00C81B34" w14:paraId="4DECF29E" w14:textId="77777777" w:rsidTr="000B60F5">
        <w:tc>
          <w:tcPr>
            <w:tcW w:w="2405" w:type="dxa"/>
          </w:tcPr>
          <w:p w14:paraId="75036858" w14:textId="77777777" w:rsidR="00B53112" w:rsidRPr="00C81B34" w:rsidRDefault="00B53112" w:rsidP="000B60F5">
            <w:pPr>
              <w:pStyle w:val="Tabledata"/>
            </w:pPr>
            <w:r w:rsidRPr="00DB64E8">
              <w:t>Superintendent</w:t>
            </w:r>
          </w:p>
        </w:tc>
        <w:tc>
          <w:tcPr>
            <w:tcW w:w="6763" w:type="dxa"/>
          </w:tcPr>
          <w:p w14:paraId="1EC6DBDA" w14:textId="6F1CF807" w:rsidR="00B53112" w:rsidRPr="00C81B34" w:rsidRDefault="00B53112" w:rsidP="000B60F5">
            <w:pPr>
              <w:pStyle w:val="Tabledata"/>
            </w:pPr>
            <w:r w:rsidRPr="00DB64E8">
              <w:t>In accordance with</w:t>
            </w:r>
            <w:r w:rsidR="000B60F5">
              <w:t xml:space="preserve"> s </w:t>
            </w:r>
            <w:r w:rsidRPr="00DB64E8">
              <w:t xml:space="preserve">3 of the </w:t>
            </w:r>
            <w:r w:rsidRPr="00DB64E8">
              <w:rPr>
                <w:i/>
              </w:rPr>
              <w:t>Young Offenders Act 1994, ‘</w:t>
            </w:r>
            <w:r w:rsidRPr="00DB64E8">
              <w:t>The person in charge of a detention centre’</w:t>
            </w:r>
          </w:p>
        </w:tc>
      </w:tr>
      <w:tr w:rsidR="00B53112" w:rsidRPr="00DB64E8" w14:paraId="43ECED58" w14:textId="77777777" w:rsidTr="000B60F5">
        <w:tc>
          <w:tcPr>
            <w:tcW w:w="2405" w:type="dxa"/>
          </w:tcPr>
          <w:p w14:paraId="162468A0" w14:textId="77777777" w:rsidR="00B53112" w:rsidRPr="00DB64E8" w:rsidRDefault="00B53112" w:rsidP="000B60F5">
            <w:pPr>
              <w:pStyle w:val="Tabledata"/>
            </w:pPr>
            <w:r w:rsidRPr="00B179DD">
              <w:t>The Department</w:t>
            </w:r>
          </w:p>
        </w:tc>
        <w:tc>
          <w:tcPr>
            <w:tcW w:w="6763" w:type="dxa"/>
          </w:tcPr>
          <w:p w14:paraId="0DCE71B5" w14:textId="77777777" w:rsidR="00B53112" w:rsidRPr="00DB64E8" w:rsidRDefault="00B53112" w:rsidP="000B60F5">
            <w:pPr>
              <w:pStyle w:val="Tabledata"/>
            </w:pPr>
            <w:r w:rsidRPr="00A20E1E">
              <w:t xml:space="preserve">The department of the Public Service principally assisting the Minister in the administration of the </w:t>
            </w:r>
            <w:r w:rsidRPr="00A20E1E">
              <w:rPr>
                <w:i/>
              </w:rPr>
              <w:t>Young Offenders Act 199</w:t>
            </w:r>
            <w:r w:rsidR="000217A1">
              <w:rPr>
                <w:i/>
              </w:rPr>
              <w:t>4</w:t>
            </w:r>
          </w:p>
        </w:tc>
      </w:tr>
      <w:tr w:rsidR="000F53EB" w:rsidRPr="00DB64E8" w14:paraId="3991A0C5" w14:textId="77777777" w:rsidTr="000B60F5">
        <w:tc>
          <w:tcPr>
            <w:tcW w:w="2405" w:type="dxa"/>
          </w:tcPr>
          <w:p w14:paraId="50BE751A" w14:textId="29064E62" w:rsidR="000F53EB" w:rsidRPr="00B179DD" w:rsidRDefault="00805D65" w:rsidP="000B60F5">
            <w:pPr>
              <w:pStyle w:val="Tabledata"/>
            </w:pPr>
            <w:r w:rsidRPr="00805D65">
              <w:lastRenderedPageBreak/>
              <w:t>Total Offender Management Solution (TOMS)</w:t>
            </w:r>
          </w:p>
        </w:tc>
        <w:tc>
          <w:tcPr>
            <w:tcW w:w="6763" w:type="dxa"/>
          </w:tcPr>
          <w:p w14:paraId="359F411C" w14:textId="73891DB4" w:rsidR="000F53EB" w:rsidRPr="00A20E1E" w:rsidRDefault="000F77D9" w:rsidP="000B60F5">
            <w:pPr>
              <w:pStyle w:val="Tabledata"/>
            </w:pPr>
            <w:r w:rsidRPr="00A76013">
              <w:rPr>
                <w:rFonts w:cs="Arial"/>
              </w:rPr>
              <w:t>An electronic database used by the Department of Corrective Services to record and manage comprehensive information relating to prisoners</w:t>
            </w:r>
            <w:r>
              <w:rPr>
                <w:rFonts w:cs="Arial"/>
              </w:rPr>
              <w:t xml:space="preserve"> and detainees.</w:t>
            </w:r>
          </w:p>
        </w:tc>
      </w:tr>
      <w:tr w:rsidR="00B53112" w:rsidRPr="00DB64E8" w14:paraId="0EC7883D" w14:textId="77777777" w:rsidTr="000B60F5">
        <w:tc>
          <w:tcPr>
            <w:tcW w:w="2405" w:type="dxa"/>
          </w:tcPr>
          <w:p w14:paraId="735A1278" w14:textId="77777777" w:rsidR="00B53112" w:rsidRPr="00DB64E8" w:rsidRDefault="00B53112" w:rsidP="000B60F5">
            <w:pPr>
              <w:pStyle w:val="Tabledata"/>
            </w:pPr>
            <w:r w:rsidRPr="00B179DD">
              <w:t>Unit Manager</w:t>
            </w:r>
          </w:p>
        </w:tc>
        <w:tc>
          <w:tcPr>
            <w:tcW w:w="6763" w:type="dxa"/>
          </w:tcPr>
          <w:p w14:paraId="61838D10" w14:textId="69F47ACE" w:rsidR="00B53112" w:rsidRPr="00DB64E8" w:rsidRDefault="00B53112" w:rsidP="000B60F5">
            <w:pPr>
              <w:pStyle w:val="Tabledata"/>
            </w:pPr>
            <w:r w:rsidRPr="00B179DD">
              <w:t>A Youth Custodial Officer substantive to this rank or Youth Custodial Officer acting in the capacity of Unit Manager, appointed by the Chief Executive Officer with reference to s</w:t>
            </w:r>
            <w:r w:rsidR="002E2517">
              <w:t>.</w:t>
            </w:r>
            <w:r w:rsidRPr="00B179DD">
              <w:t xml:space="preserve">11 of the </w:t>
            </w:r>
            <w:r w:rsidRPr="00B179DD">
              <w:rPr>
                <w:i/>
              </w:rPr>
              <w:t>Young Offenders Act 1994</w:t>
            </w:r>
            <w:r w:rsidRPr="00B179DD">
              <w:t>.</w:t>
            </w:r>
          </w:p>
        </w:tc>
      </w:tr>
      <w:tr w:rsidR="00B53112" w:rsidRPr="00344FBE" w14:paraId="69FB3909" w14:textId="77777777" w:rsidTr="000B60F5">
        <w:tc>
          <w:tcPr>
            <w:tcW w:w="2405" w:type="dxa"/>
          </w:tcPr>
          <w:p w14:paraId="17C25571" w14:textId="6846E8A3" w:rsidR="00B53112" w:rsidRPr="00472498" w:rsidRDefault="00B53112" w:rsidP="000B60F5">
            <w:pPr>
              <w:pStyle w:val="Tabledata"/>
            </w:pPr>
            <w:r w:rsidRPr="00B179DD">
              <w:t>Custodial Officer</w:t>
            </w:r>
          </w:p>
        </w:tc>
        <w:tc>
          <w:tcPr>
            <w:tcW w:w="6763" w:type="dxa"/>
          </w:tcPr>
          <w:p w14:paraId="15549C41" w14:textId="4A677B13" w:rsidR="00B53112" w:rsidRPr="00344FBE" w:rsidRDefault="00120E08" w:rsidP="000B60F5">
            <w:pPr>
              <w:pStyle w:val="Tabledata"/>
            </w:pPr>
            <w:r>
              <w:t>An officer with custodial functions, appointed under</w:t>
            </w:r>
            <w:r w:rsidR="000B60F5">
              <w:t xml:space="preserve"> s </w:t>
            </w:r>
            <w:r>
              <w:t xml:space="preserve">11(1) of the </w:t>
            </w:r>
            <w:r>
              <w:rPr>
                <w:i/>
                <w:iCs/>
              </w:rPr>
              <w:t>Young Offenders Act 1994</w:t>
            </w:r>
            <w:r>
              <w:t>; or a person who is appointed under</w:t>
            </w:r>
            <w:r w:rsidR="000B60F5">
              <w:t xml:space="preserve"> s </w:t>
            </w:r>
            <w:r w:rsidR="000F77D9">
              <w:t>11(1a)(a) as a Custodial O</w:t>
            </w:r>
            <w:r>
              <w:t>fficer. This includes but is not limited to Custodial Officers, Unit Managers and Senior Officers.</w:t>
            </w:r>
          </w:p>
        </w:tc>
      </w:tr>
    </w:tbl>
    <w:p w14:paraId="65C7FCC9" w14:textId="77777777" w:rsidR="003D708E" w:rsidRDefault="003D708E" w:rsidP="00203EE2">
      <w:pPr>
        <w:pStyle w:val="Heading2"/>
      </w:pPr>
      <w:bookmarkStart w:id="25" w:name="_Toc43110799"/>
      <w:r>
        <w:t>Related legislation</w:t>
      </w:r>
      <w:bookmarkEnd w:id="25"/>
      <w:r>
        <w:t xml:space="preserve"> </w:t>
      </w:r>
    </w:p>
    <w:p w14:paraId="4745543E" w14:textId="2528152D" w:rsidR="002E2517" w:rsidRPr="00203EE2" w:rsidRDefault="002E2517" w:rsidP="00203EE2">
      <w:pPr>
        <w:pStyle w:val="ListBullet"/>
        <w:rPr>
          <w:i/>
        </w:rPr>
      </w:pPr>
      <w:r w:rsidRPr="00203EE2">
        <w:rPr>
          <w:i/>
        </w:rPr>
        <w:t>Public Sector Management Act 1994</w:t>
      </w:r>
    </w:p>
    <w:p w14:paraId="4439A826" w14:textId="77777777" w:rsidR="000217A1" w:rsidRPr="00A8427D" w:rsidRDefault="000217A1" w:rsidP="00203EE2">
      <w:pPr>
        <w:pStyle w:val="ListBullet"/>
        <w:rPr>
          <w:iCs/>
        </w:rPr>
      </w:pPr>
      <w:r w:rsidRPr="00203EE2">
        <w:rPr>
          <w:i/>
        </w:rPr>
        <w:t xml:space="preserve">Young Offender Act </w:t>
      </w:r>
      <w:r w:rsidRPr="00A8427D">
        <w:rPr>
          <w:iCs/>
        </w:rPr>
        <w:t>1994</w:t>
      </w:r>
    </w:p>
    <w:p w14:paraId="72F4A0AE" w14:textId="77777777" w:rsidR="000217A1" w:rsidRPr="00A8427D" w:rsidRDefault="001336BB" w:rsidP="00203EE2">
      <w:pPr>
        <w:pStyle w:val="ListBullet"/>
        <w:rPr>
          <w:i/>
        </w:rPr>
      </w:pPr>
      <w:r w:rsidRPr="00A8427D">
        <w:rPr>
          <w:i/>
        </w:rPr>
        <w:t>Young Offender Regulations 1995</w:t>
      </w:r>
    </w:p>
    <w:p w14:paraId="4BF1A53D" w14:textId="105CFA77" w:rsidR="000B60F5" w:rsidRDefault="000B60F5">
      <w:r>
        <w:br w:type="page"/>
      </w:r>
    </w:p>
    <w:p w14:paraId="2DC51C1D" w14:textId="77777777" w:rsidR="00D978E7" w:rsidRDefault="002E5756" w:rsidP="00203EE2">
      <w:pPr>
        <w:pStyle w:val="Heading1"/>
      </w:pPr>
      <w:bookmarkStart w:id="26" w:name="_Toc178286"/>
      <w:bookmarkStart w:id="27" w:name="_Toc43110800"/>
      <w:r w:rsidRPr="009D516D">
        <w:lastRenderedPageBreak/>
        <w:t>Assurance</w:t>
      </w:r>
      <w:bookmarkEnd w:id="26"/>
      <w:bookmarkEnd w:id="27"/>
    </w:p>
    <w:p w14:paraId="018C5875" w14:textId="1EC10764" w:rsidR="00765A25" w:rsidRDefault="00765A25" w:rsidP="00765A25">
      <w:r w:rsidRPr="00606FAA">
        <w:t>It is expected that:</w:t>
      </w:r>
    </w:p>
    <w:p w14:paraId="750BB1E4" w14:textId="77777777" w:rsidR="00203EE2" w:rsidRPr="00606FAA" w:rsidRDefault="00203EE2" w:rsidP="00765A25"/>
    <w:p w14:paraId="002A21A0" w14:textId="77777777" w:rsidR="00765A25" w:rsidRPr="00606FAA" w:rsidRDefault="00765A25" w:rsidP="00203EE2">
      <w:pPr>
        <w:pStyle w:val="ListBullet"/>
      </w:pPr>
      <w:r w:rsidRPr="00606FAA">
        <w:t xml:space="preserve">BHDC will undertake local compliance in accordance with the </w:t>
      </w:r>
      <w:hyperlink r:id="rId27" w:history="1">
        <w:r w:rsidRPr="00D807D5">
          <w:rPr>
            <w:rStyle w:val="Hyperlink"/>
          </w:rPr>
          <w:t>Compliance Manual</w:t>
        </w:r>
      </w:hyperlink>
      <w:r w:rsidRPr="00606FAA">
        <w:t>.</w:t>
      </w:r>
    </w:p>
    <w:p w14:paraId="6B58B58A" w14:textId="77777777" w:rsidR="00765A25" w:rsidRPr="00606FAA" w:rsidRDefault="00765A25" w:rsidP="00203EE2">
      <w:pPr>
        <w:pStyle w:val="ListBullet"/>
      </w:pPr>
      <w:r w:rsidRPr="00606FAA">
        <w:t xml:space="preserve">Women and Young People, Head Office will undertake management oversight as required. </w:t>
      </w:r>
    </w:p>
    <w:p w14:paraId="4539603C" w14:textId="41473E27" w:rsidR="00765A25" w:rsidRPr="00606FAA" w:rsidRDefault="00765A25" w:rsidP="00203EE2">
      <w:pPr>
        <w:pStyle w:val="ListBullet"/>
      </w:pPr>
      <w:r w:rsidRPr="00606FAA">
        <w:rPr>
          <w:rFonts w:eastAsia="Calibri"/>
        </w:rPr>
        <w:t>Operational Compliance</w:t>
      </w:r>
      <w:r w:rsidRPr="00606FAA">
        <w:t xml:space="preserve"> will undertake checks in accordance with the </w:t>
      </w:r>
      <w:hyperlink r:id="rId28" w:history="1">
        <w:r w:rsidR="00CD13D3">
          <w:rPr>
            <w:rStyle w:val="Hyperlink"/>
          </w:rPr>
          <w:t xml:space="preserve">Operational </w:t>
        </w:r>
        <w:r w:rsidR="00CD13D3" w:rsidRPr="00D807D5">
          <w:rPr>
            <w:rStyle w:val="Hyperlink"/>
          </w:rPr>
          <w:t>Compliance Framework</w:t>
        </w:r>
      </w:hyperlink>
      <w:r w:rsidRPr="00606FAA">
        <w:t xml:space="preserve">. </w:t>
      </w:r>
    </w:p>
    <w:p w14:paraId="452DBDEE" w14:textId="77777777" w:rsidR="00765A25" w:rsidRPr="00606FAA" w:rsidRDefault="00765A25" w:rsidP="00203EE2">
      <w:pPr>
        <w:pStyle w:val="ListBullet"/>
      </w:pPr>
      <w:r w:rsidRPr="00606FAA">
        <w:t xml:space="preserve">Independent oversight will be undertaken as required. </w:t>
      </w:r>
    </w:p>
    <w:p w14:paraId="42524714" w14:textId="367D2528" w:rsidR="000B60F5" w:rsidRDefault="000B60F5"/>
    <w:p w14:paraId="0231B6C2" w14:textId="5C479CAC" w:rsidR="00245869" w:rsidRDefault="00245869" w:rsidP="00203EE2">
      <w:pPr>
        <w:pStyle w:val="H1nonumber"/>
      </w:pPr>
      <w:r>
        <w:t>Document version history</w:t>
      </w:r>
    </w:p>
    <w:p w14:paraId="483CE4C7" w14:textId="77777777" w:rsidR="00245869" w:rsidRPr="00203EE2" w:rsidRDefault="00245869" w:rsidP="00203EE2"/>
    <w:tbl>
      <w:tblPr>
        <w:tblStyle w:val="DCStable"/>
        <w:tblW w:w="9526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9"/>
        <w:gridCol w:w="1977"/>
        <w:gridCol w:w="2781"/>
        <w:gridCol w:w="1872"/>
        <w:gridCol w:w="1837"/>
      </w:tblGrid>
      <w:tr w:rsidR="00AD3E2D" w:rsidRPr="007D3C6F" w14:paraId="69E33C1D" w14:textId="362CBF71" w:rsidTr="00AD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tcW w:w="1059" w:type="dxa"/>
          </w:tcPr>
          <w:p w14:paraId="632177E4" w14:textId="77777777" w:rsidR="00AD3E2D" w:rsidRPr="007D3C6F" w:rsidRDefault="00AD3E2D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1977" w:type="dxa"/>
          </w:tcPr>
          <w:p w14:paraId="16014F41" w14:textId="77777777" w:rsidR="00AD3E2D" w:rsidRPr="007D3C6F" w:rsidRDefault="00AD3E2D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781" w:type="dxa"/>
          </w:tcPr>
          <w:p w14:paraId="4B4A39E5" w14:textId="77777777" w:rsidR="00AD3E2D" w:rsidRPr="007D3C6F" w:rsidRDefault="00AD3E2D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872" w:type="dxa"/>
          </w:tcPr>
          <w:p w14:paraId="799BD264" w14:textId="77777777" w:rsidR="00AD3E2D" w:rsidRPr="007D3C6F" w:rsidRDefault="00AD3E2D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837" w:type="dxa"/>
          </w:tcPr>
          <w:p w14:paraId="6DB925E5" w14:textId="107E9E4C" w:rsidR="00AD3E2D" w:rsidRPr="007D3C6F" w:rsidRDefault="00AD3E2D" w:rsidP="00DF778C">
            <w:pPr>
              <w:pStyle w:val="Tableheading"/>
            </w:pPr>
            <w:r>
              <w:t xml:space="preserve">Effective </w:t>
            </w:r>
            <w:r w:rsidR="00AA332C">
              <w:t>d</w:t>
            </w:r>
            <w:r>
              <w:t xml:space="preserve">ate </w:t>
            </w:r>
          </w:p>
        </w:tc>
      </w:tr>
      <w:tr w:rsidR="00AD3E2D" w:rsidRPr="007D3C6F" w14:paraId="7579CCEA" w14:textId="72EFA5D8" w:rsidTr="00AD3E2D">
        <w:trPr>
          <w:trHeight w:val="288"/>
        </w:trPr>
        <w:tc>
          <w:tcPr>
            <w:tcW w:w="1059" w:type="dxa"/>
          </w:tcPr>
          <w:p w14:paraId="4D86130E" w14:textId="77777777" w:rsidR="00AD3E2D" w:rsidRPr="007D3C6F" w:rsidRDefault="00AD3E2D" w:rsidP="00EE0963">
            <w:pPr>
              <w:pStyle w:val="Tabledata"/>
            </w:pPr>
            <w:r w:rsidRPr="007D3C6F">
              <w:t>0.1</w:t>
            </w:r>
          </w:p>
        </w:tc>
        <w:tc>
          <w:tcPr>
            <w:tcW w:w="1977" w:type="dxa"/>
          </w:tcPr>
          <w:p w14:paraId="2B95D6DB" w14:textId="2DB6A9A7" w:rsidR="00AD3E2D" w:rsidRPr="00F675D5" w:rsidRDefault="00AD3E2D" w:rsidP="00EE0963">
            <w:pPr>
              <w:pStyle w:val="Tabledata"/>
            </w:pPr>
            <w:r w:rsidRPr="008855B0">
              <w:t xml:space="preserve">Operational Policy </w:t>
            </w:r>
          </w:p>
        </w:tc>
        <w:tc>
          <w:tcPr>
            <w:tcW w:w="2781" w:type="dxa"/>
          </w:tcPr>
          <w:p w14:paraId="2E605013" w14:textId="77777777" w:rsidR="00AD3E2D" w:rsidRPr="00F675D5" w:rsidRDefault="00AD3E2D" w:rsidP="00EE0963">
            <w:pPr>
              <w:pStyle w:val="Tabledata"/>
            </w:pPr>
            <w:r w:rsidRPr="00F675D5">
              <w:t>Initial draft</w:t>
            </w:r>
          </w:p>
        </w:tc>
        <w:tc>
          <w:tcPr>
            <w:tcW w:w="1872" w:type="dxa"/>
          </w:tcPr>
          <w:p w14:paraId="3FECAB70" w14:textId="295CEE0D" w:rsidR="00AD3E2D" w:rsidRPr="007D3C6F" w:rsidRDefault="00AD3E2D" w:rsidP="00EE0963">
            <w:pPr>
              <w:pStyle w:val="Tabledata"/>
            </w:pPr>
            <w:r>
              <w:t>11 December 2019</w:t>
            </w:r>
          </w:p>
        </w:tc>
        <w:tc>
          <w:tcPr>
            <w:tcW w:w="1837" w:type="dxa"/>
          </w:tcPr>
          <w:p w14:paraId="6EBA3FC9" w14:textId="385F27A1" w:rsidR="00AD3E2D" w:rsidRDefault="00AD3E2D" w:rsidP="00EE0963">
            <w:pPr>
              <w:pStyle w:val="Tabledata"/>
            </w:pPr>
            <w:r>
              <w:t>N/A</w:t>
            </w:r>
          </w:p>
        </w:tc>
      </w:tr>
      <w:tr w:rsidR="00AD3E2D" w:rsidRPr="007D3C6F" w14:paraId="5D4B5CE9" w14:textId="7A2DE6A5" w:rsidTr="00AD3E2D">
        <w:trPr>
          <w:trHeight w:val="561"/>
        </w:trPr>
        <w:tc>
          <w:tcPr>
            <w:tcW w:w="1059" w:type="dxa"/>
          </w:tcPr>
          <w:p w14:paraId="5CB7160E" w14:textId="77777777" w:rsidR="00AD3E2D" w:rsidRPr="007D3C6F" w:rsidRDefault="00AD3E2D" w:rsidP="00EE0963">
            <w:pPr>
              <w:pStyle w:val="Tabledata"/>
            </w:pPr>
            <w:r w:rsidRPr="007D3C6F">
              <w:t>0.2</w:t>
            </w:r>
          </w:p>
        </w:tc>
        <w:tc>
          <w:tcPr>
            <w:tcW w:w="1977" w:type="dxa"/>
          </w:tcPr>
          <w:p w14:paraId="76D60A66" w14:textId="6CF66209" w:rsidR="00AD3E2D" w:rsidRPr="00DF778C" w:rsidRDefault="00AD3E2D" w:rsidP="00EE0963">
            <w:pPr>
              <w:pStyle w:val="Tabledata"/>
            </w:pPr>
            <w:r w:rsidRPr="008855B0">
              <w:t xml:space="preserve">Operational Policy </w:t>
            </w:r>
          </w:p>
        </w:tc>
        <w:tc>
          <w:tcPr>
            <w:tcW w:w="2781" w:type="dxa"/>
          </w:tcPr>
          <w:p w14:paraId="0C59D9CD" w14:textId="77777777" w:rsidR="00AD3E2D" w:rsidRPr="00F675D5" w:rsidRDefault="00AD3E2D" w:rsidP="00EE0963">
            <w:pPr>
              <w:pStyle w:val="Tabledata"/>
            </w:pPr>
            <w:r w:rsidRPr="00F675D5">
              <w:t>Updated following consultation</w:t>
            </w:r>
          </w:p>
        </w:tc>
        <w:tc>
          <w:tcPr>
            <w:tcW w:w="1872" w:type="dxa"/>
          </w:tcPr>
          <w:p w14:paraId="6E0552EE" w14:textId="2752618A" w:rsidR="00AD3E2D" w:rsidRPr="007D3C6F" w:rsidRDefault="00AD3E2D" w:rsidP="00EE0963">
            <w:pPr>
              <w:pStyle w:val="Tabledata"/>
            </w:pPr>
            <w:r>
              <w:t>13 March 2020</w:t>
            </w:r>
          </w:p>
        </w:tc>
        <w:tc>
          <w:tcPr>
            <w:tcW w:w="1837" w:type="dxa"/>
          </w:tcPr>
          <w:p w14:paraId="4DF6460C" w14:textId="363B0D85" w:rsidR="00AD3E2D" w:rsidRDefault="00AD3E2D" w:rsidP="00EE0963">
            <w:pPr>
              <w:pStyle w:val="Tabledata"/>
            </w:pPr>
            <w:r>
              <w:t>N/A</w:t>
            </w:r>
          </w:p>
        </w:tc>
      </w:tr>
      <w:tr w:rsidR="00AD3E2D" w:rsidRPr="007D3C6F" w14:paraId="688475BC" w14:textId="7BEA08CE" w:rsidTr="00AD3E2D">
        <w:trPr>
          <w:trHeight w:val="561"/>
        </w:trPr>
        <w:tc>
          <w:tcPr>
            <w:tcW w:w="1059" w:type="dxa"/>
          </w:tcPr>
          <w:p w14:paraId="6A7CA076" w14:textId="3CA59573" w:rsidR="00AD3E2D" w:rsidRPr="007D3C6F" w:rsidRDefault="00AD3E2D" w:rsidP="00EE0963">
            <w:pPr>
              <w:pStyle w:val="Tabledata"/>
            </w:pPr>
            <w:r>
              <w:t xml:space="preserve">0.3 </w:t>
            </w:r>
          </w:p>
        </w:tc>
        <w:tc>
          <w:tcPr>
            <w:tcW w:w="1977" w:type="dxa"/>
          </w:tcPr>
          <w:p w14:paraId="4A24B6F1" w14:textId="1F0B20BA" w:rsidR="00AD3E2D" w:rsidRPr="009B68A0" w:rsidRDefault="00AD3E2D" w:rsidP="00EE0963">
            <w:pPr>
              <w:pStyle w:val="Tabledata"/>
            </w:pPr>
            <w:r w:rsidRPr="008855B0">
              <w:t xml:space="preserve">Operational Policy </w:t>
            </w:r>
          </w:p>
        </w:tc>
        <w:tc>
          <w:tcPr>
            <w:tcW w:w="2781" w:type="dxa"/>
          </w:tcPr>
          <w:p w14:paraId="7D8B20DA" w14:textId="28E4DF0D" w:rsidR="00AD3E2D" w:rsidRPr="00F675D5" w:rsidRDefault="00AD3E2D" w:rsidP="00EE0963">
            <w:pPr>
              <w:pStyle w:val="Tabledata"/>
            </w:pPr>
            <w:r>
              <w:t>Tabled for approval with the Project Steering Committee</w:t>
            </w:r>
          </w:p>
        </w:tc>
        <w:tc>
          <w:tcPr>
            <w:tcW w:w="1872" w:type="dxa"/>
          </w:tcPr>
          <w:p w14:paraId="5D783B36" w14:textId="02151925" w:rsidR="00AD3E2D" w:rsidRPr="007D3C6F" w:rsidRDefault="00AD3E2D" w:rsidP="00EE0963">
            <w:pPr>
              <w:pStyle w:val="Tabledata"/>
            </w:pPr>
            <w:r>
              <w:t>17 March 2020</w:t>
            </w:r>
          </w:p>
        </w:tc>
        <w:tc>
          <w:tcPr>
            <w:tcW w:w="1837" w:type="dxa"/>
          </w:tcPr>
          <w:p w14:paraId="5C60CDDB" w14:textId="4EE91D01" w:rsidR="00AD3E2D" w:rsidRDefault="00AD3E2D" w:rsidP="00EE0963">
            <w:pPr>
              <w:pStyle w:val="Tabledata"/>
            </w:pPr>
            <w:r>
              <w:t>N/A</w:t>
            </w:r>
          </w:p>
        </w:tc>
      </w:tr>
      <w:tr w:rsidR="00AD3E2D" w:rsidRPr="007D3C6F" w14:paraId="0084D512" w14:textId="08C630B1" w:rsidTr="00AD3E2D">
        <w:trPr>
          <w:trHeight w:val="561"/>
        </w:trPr>
        <w:tc>
          <w:tcPr>
            <w:tcW w:w="1059" w:type="dxa"/>
          </w:tcPr>
          <w:p w14:paraId="37070072" w14:textId="32A63900" w:rsidR="00AD3E2D" w:rsidRDefault="00AD3E2D" w:rsidP="00516DD9">
            <w:pPr>
              <w:pStyle w:val="Tabledata"/>
            </w:pPr>
            <w:r>
              <w:t>0.4</w:t>
            </w:r>
          </w:p>
        </w:tc>
        <w:tc>
          <w:tcPr>
            <w:tcW w:w="1977" w:type="dxa"/>
          </w:tcPr>
          <w:p w14:paraId="22A8D987" w14:textId="4C3123CC" w:rsidR="00AD3E2D" w:rsidRDefault="00AD3E2D" w:rsidP="00516DD9">
            <w:pPr>
              <w:pStyle w:val="Tabledata"/>
            </w:pPr>
            <w:r>
              <w:t xml:space="preserve">Operational Policy </w:t>
            </w:r>
          </w:p>
        </w:tc>
        <w:tc>
          <w:tcPr>
            <w:tcW w:w="2781" w:type="dxa"/>
          </w:tcPr>
          <w:p w14:paraId="42ADC7CA" w14:textId="08F34FE6" w:rsidR="00AD3E2D" w:rsidRDefault="00AD3E2D" w:rsidP="00516DD9">
            <w:pPr>
              <w:pStyle w:val="Tabledata"/>
            </w:pPr>
            <w:r>
              <w:t>Approved by the Project Steering Committee</w:t>
            </w:r>
          </w:p>
        </w:tc>
        <w:tc>
          <w:tcPr>
            <w:tcW w:w="1872" w:type="dxa"/>
          </w:tcPr>
          <w:p w14:paraId="1FD66F9E" w14:textId="794CD33D" w:rsidR="00AD3E2D" w:rsidRDefault="00AD3E2D" w:rsidP="00B136DA">
            <w:pPr>
              <w:pStyle w:val="Tabledata"/>
            </w:pPr>
            <w:r>
              <w:t>17 April 2020</w:t>
            </w:r>
          </w:p>
        </w:tc>
        <w:tc>
          <w:tcPr>
            <w:tcW w:w="1837" w:type="dxa"/>
          </w:tcPr>
          <w:p w14:paraId="36469985" w14:textId="0FBAB812" w:rsidR="00AD3E2D" w:rsidRDefault="00AD3E2D" w:rsidP="00B136DA">
            <w:pPr>
              <w:pStyle w:val="Tabledata"/>
            </w:pPr>
            <w:r>
              <w:t>N/A</w:t>
            </w:r>
          </w:p>
        </w:tc>
      </w:tr>
      <w:tr w:rsidR="00AD3E2D" w:rsidRPr="007D3C6F" w14:paraId="71E00B6D" w14:textId="4D7C4507" w:rsidTr="00AD3E2D">
        <w:trPr>
          <w:trHeight w:val="561"/>
        </w:trPr>
        <w:tc>
          <w:tcPr>
            <w:tcW w:w="1059" w:type="dxa"/>
          </w:tcPr>
          <w:p w14:paraId="08925412" w14:textId="2DE57CB5" w:rsidR="00AD3E2D" w:rsidRDefault="00AD3E2D" w:rsidP="00516DD9">
            <w:pPr>
              <w:pStyle w:val="Tabledata"/>
            </w:pPr>
            <w:r>
              <w:t>0.5</w:t>
            </w:r>
          </w:p>
        </w:tc>
        <w:tc>
          <w:tcPr>
            <w:tcW w:w="1977" w:type="dxa"/>
          </w:tcPr>
          <w:p w14:paraId="70AFF51A" w14:textId="44522CBB" w:rsidR="00AD3E2D" w:rsidRDefault="00AD3E2D" w:rsidP="00516DD9">
            <w:pPr>
              <w:pStyle w:val="Tabledata"/>
            </w:pPr>
            <w:r>
              <w:t>Operational Policy</w:t>
            </w:r>
          </w:p>
        </w:tc>
        <w:tc>
          <w:tcPr>
            <w:tcW w:w="2781" w:type="dxa"/>
          </w:tcPr>
          <w:p w14:paraId="295AD9FD" w14:textId="7D3612EB" w:rsidR="00AD3E2D" w:rsidRDefault="00AD3E2D" w:rsidP="00516DD9">
            <w:pPr>
              <w:pStyle w:val="Tabledata"/>
            </w:pPr>
            <w:r>
              <w:t>Minor formatting and amendments</w:t>
            </w:r>
          </w:p>
        </w:tc>
        <w:tc>
          <w:tcPr>
            <w:tcW w:w="1872" w:type="dxa"/>
          </w:tcPr>
          <w:p w14:paraId="1D6975FC" w14:textId="1F8AD5EE" w:rsidR="00AD3E2D" w:rsidRDefault="00AD3E2D" w:rsidP="00B136DA">
            <w:pPr>
              <w:pStyle w:val="Tabledata"/>
            </w:pPr>
            <w:r>
              <w:t>5 June 2020</w:t>
            </w:r>
          </w:p>
        </w:tc>
        <w:tc>
          <w:tcPr>
            <w:tcW w:w="1837" w:type="dxa"/>
          </w:tcPr>
          <w:p w14:paraId="337102D9" w14:textId="42DBD72F" w:rsidR="00AD3E2D" w:rsidRDefault="00AD3E2D" w:rsidP="00B136DA">
            <w:pPr>
              <w:pStyle w:val="Tabledata"/>
            </w:pPr>
            <w:r>
              <w:t>N/A</w:t>
            </w:r>
          </w:p>
        </w:tc>
      </w:tr>
      <w:tr w:rsidR="00AD3E2D" w:rsidRPr="007D3C6F" w14:paraId="5F8DEBCE" w14:textId="1187087D" w:rsidTr="00AD3E2D">
        <w:trPr>
          <w:trHeight w:val="836"/>
        </w:trPr>
        <w:tc>
          <w:tcPr>
            <w:tcW w:w="1059" w:type="dxa"/>
          </w:tcPr>
          <w:p w14:paraId="20AEFB88" w14:textId="53270DD2" w:rsidR="00AD3E2D" w:rsidRDefault="00AD3E2D" w:rsidP="00516DD9">
            <w:pPr>
              <w:pStyle w:val="Tabledata"/>
            </w:pPr>
            <w:r>
              <w:t xml:space="preserve">1.0 </w:t>
            </w:r>
          </w:p>
        </w:tc>
        <w:tc>
          <w:tcPr>
            <w:tcW w:w="1977" w:type="dxa"/>
          </w:tcPr>
          <w:p w14:paraId="73F4605A" w14:textId="1E787933" w:rsidR="00AD3E2D" w:rsidRDefault="00AD3E2D" w:rsidP="00516DD9">
            <w:pPr>
              <w:pStyle w:val="Tabledata"/>
            </w:pPr>
            <w:r>
              <w:t>Operational Policy</w:t>
            </w:r>
          </w:p>
        </w:tc>
        <w:tc>
          <w:tcPr>
            <w:tcW w:w="2781" w:type="dxa"/>
          </w:tcPr>
          <w:p w14:paraId="012155A2" w14:textId="3424E952" w:rsidR="00AD3E2D" w:rsidRDefault="00AD3E2D" w:rsidP="00516DD9">
            <w:pPr>
              <w:pStyle w:val="Tabledata"/>
            </w:pPr>
            <w:r>
              <w:t>Approved by the Director Operation</w:t>
            </w:r>
            <w:r w:rsidR="00EF1630">
              <w:t>al</w:t>
            </w:r>
            <w:r>
              <w:t xml:space="preserve"> Projects, Policy, Compliance and Contracts </w:t>
            </w:r>
          </w:p>
        </w:tc>
        <w:tc>
          <w:tcPr>
            <w:tcW w:w="1872" w:type="dxa"/>
          </w:tcPr>
          <w:p w14:paraId="76DEE1EB" w14:textId="0C8106B3" w:rsidR="00AD3E2D" w:rsidRDefault="00AD3E2D" w:rsidP="00B136DA">
            <w:pPr>
              <w:pStyle w:val="Tabledata"/>
            </w:pPr>
            <w:r>
              <w:t>1 July 2020</w:t>
            </w:r>
          </w:p>
        </w:tc>
        <w:tc>
          <w:tcPr>
            <w:tcW w:w="1837" w:type="dxa"/>
          </w:tcPr>
          <w:p w14:paraId="045D6C18" w14:textId="3AAC8573" w:rsidR="00AD3E2D" w:rsidRDefault="00AD3E2D" w:rsidP="00B136DA">
            <w:pPr>
              <w:pStyle w:val="Tabledata"/>
            </w:pPr>
            <w:r>
              <w:t>5 October 2020</w:t>
            </w:r>
          </w:p>
        </w:tc>
      </w:tr>
      <w:tr w:rsidR="007C26B9" w:rsidRPr="007D3C6F" w14:paraId="64A1ED9F" w14:textId="77777777" w:rsidTr="00AD3E2D">
        <w:trPr>
          <w:trHeight w:val="836"/>
        </w:trPr>
        <w:tc>
          <w:tcPr>
            <w:tcW w:w="1059" w:type="dxa"/>
          </w:tcPr>
          <w:p w14:paraId="1DCCB36A" w14:textId="0656A019" w:rsidR="007C26B9" w:rsidRDefault="007C26B9" w:rsidP="00516DD9">
            <w:pPr>
              <w:pStyle w:val="Tabledata"/>
            </w:pPr>
            <w:r>
              <w:t>1.1</w:t>
            </w:r>
          </w:p>
        </w:tc>
        <w:tc>
          <w:tcPr>
            <w:tcW w:w="1977" w:type="dxa"/>
          </w:tcPr>
          <w:p w14:paraId="510BAEE4" w14:textId="21182CEE" w:rsidR="007C26B9" w:rsidRDefault="007C26B9" w:rsidP="00516DD9">
            <w:pPr>
              <w:pStyle w:val="Tabledata"/>
            </w:pPr>
            <w:r>
              <w:t>Operational Policy</w:t>
            </w:r>
          </w:p>
        </w:tc>
        <w:tc>
          <w:tcPr>
            <w:tcW w:w="2781" w:type="dxa"/>
          </w:tcPr>
          <w:p w14:paraId="4841424F" w14:textId="22954456" w:rsidR="007C26B9" w:rsidRDefault="007C26B9" w:rsidP="00516DD9">
            <w:pPr>
              <w:pStyle w:val="Tabledata"/>
            </w:pPr>
            <w:r>
              <w:t>Scheduled Review</w:t>
            </w:r>
          </w:p>
        </w:tc>
        <w:tc>
          <w:tcPr>
            <w:tcW w:w="1872" w:type="dxa"/>
          </w:tcPr>
          <w:p w14:paraId="0A99B69B" w14:textId="76D7360D" w:rsidR="007C26B9" w:rsidRDefault="001D350F" w:rsidP="00B136DA">
            <w:pPr>
              <w:pStyle w:val="Tabledata"/>
            </w:pPr>
            <w:r>
              <w:t xml:space="preserve">15 </w:t>
            </w:r>
            <w:r w:rsidR="00A8427D">
              <w:t>May 2023</w:t>
            </w:r>
          </w:p>
        </w:tc>
        <w:tc>
          <w:tcPr>
            <w:tcW w:w="1837" w:type="dxa"/>
          </w:tcPr>
          <w:p w14:paraId="45FF0CFC" w14:textId="439C6381" w:rsidR="007C26B9" w:rsidRDefault="00A8427D" w:rsidP="00B136DA">
            <w:pPr>
              <w:pStyle w:val="Tabledata"/>
            </w:pPr>
            <w:r>
              <w:t>N/A</w:t>
            </w:r>
          </w:p>
        </w:tc>
      </w:tr>
      <w:tr w:rsidR="007C26B9" w:rsidRPr="007D3C6F" w14:paraId="15449974" w14:textId="77777777" w:rsidTr="00AD3E2D">
        <w:trPr>
          <w:trHeight w:val="836"/>
        </w:trPr>
        <w:tc>
          <w:tcPr>
            <w:tcW w:w="1059" w:type="dxa"/>
          </w:tcPr>
          <w:p w14:paraId="1AEDB427" w14:textId="38812134" w:rsidR="007C26B9" w:rsidRDefault="007C26B9" w:rsidP="00516DD9">
            <w:pPr>
              <w:pStyle w:val="Tabledata"/>
            </w:pPr>
            <w:r>
              <w:t>2.0</w:t>
            </w:r>
          </w:p>
        </w:tc>
        <w:tc>
          <w:tcPr>
            <w:tcW w:w="1977" w:type="dxa"/>
          </w:tcPr>
          <w:p w14:paraId="2C25035A" w14:textId="67AF44B6" w:rsidR="007C26B9" w:rsidRDefault="007C26B9" w:rsidP="00516DD9">
            <w:pPr>
              <w:pStyle w:val="Tabledata"/>
            </w:pPr>
            <w:r>
              <w:t>Operational Policy</w:t>
            </w:r>
          </w:p>
        </w:tc>
        <w:tc>
          <w:tcPr>
            <w:tcW w:w="2781" w:type="dxa"/>
          </w:tcPr>
          <w:p w14:paraId="22FE5C9A" w14:textId="0E9FFBB9" w:rsidR="007C26B9" w:rsidRDefault="007C26B9" w:rsidP="00516DD9">
            <w:pPr>
              <w:pStyle w:val="Tabledata"/>
            </w:pPr>
            <w:r>
              <w:t xml:space="preserve">Approved by the </w:t>
            </w:r>
            <w:r w:rsidR="00A8427D">
              <w:t xml:space="preserve">A/ </w:t>
            </w:r>
            <w:r>
              <w:t>Director Operational Projects, Policy, Compliance and Contracts</w:t>
            </w:r>
          </w:p>
        </w:tc>
        <w:tc>
          <w:tcPr>
            <w:tcW w:w="1872" w:type="dxa"/>
          </w:tcPr>
          <w:p w14:paraId="13334FAC" w14:textId="094F0112" w:rsidR="007C26B9" w:rsidRDefault="00A11856" w:rsidP="00B136DA">
            <w:pPr>
              <w:pStyle w:val="Tabledata"/>
            </w:pPr>
            <w:r>
              <w:t>15 May 2023</w:t>
            </w:r>
          </w:p>
        </w:tc>
        <w:tc>
          <w:tcPr>
            <w:tcW w:w="1837" w:type="dxa"/>
          </w:tcPr>
          <w:p w14:paraId="32843727" w14:textId="58FA2CD6" w:rsidR="007C26B9" w:rsidRDefault="00A11856" w:rsidP="00B136DA">
            <w:pPr>
              <w:pStyle w:val="Tabledata"/>
            </w:pPr>
            <w:r>
              <w:t>15 May 2023</w:t>
            </w:r>
          </w:p>
        </w:tc>
      </w:tr>
    </w:tbl>
    <w:p w14:paraId="3556A53A" w14:textId="77777777" w:rsidR="00245869" w:rsidRPr="00D05B49" w:rsidRDefault="00245869" w:rsidP="00D05B49"/>
    <w:sectPr w:rsidR="00245869" w:rsidRPr="00D05B49" w:rsidSect="00203EE2"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7754" w14:textId="77777777" w:rsidR="00AB250B" w:rsidRDefault="00AB250B" w:rsidP="00D06E62">
      <w:r>
        <w:separator/>
      </w:r>
    </w:p>
  </w:endnote>
  <w:endnote w:type="continuationSeparator" w:id="0">
    <w:p w14:paraId="504B1345" w14:textId="77777777" w:rsidR="00AB250B" w:rsidRDefault="00AB250B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3328" w14:textId="3F0FF21B" w:rsidR="009B751B" w:rsidRDefault="00627992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 w:rsidR="001737E9">
      <w:rPr>
        <w:color w:val="C00000"/>
      </w:rPr>
      <w:t xml:space="preserve">Custodial </w:t>
    </w:r>
    <w:r w:rsidRPr="00627992">
      <w:rPr>
        <w:color w:val="C00000"/>
      </w:rPr>
      <w:t>Ops intranet page</w:t>
    </w:r>
    <w: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AC27D8">
      <w:rPr>
        <w:noProof/>
      </w:rPr>
      <w:t>2</w:t>
    </w:r>
    <w:r w:rsidRPr="00627992">
      <w:fldChar w:fldCharType="end"/>
    </w:r>
    <w:r w:rsidRPr="00627992">
      <w:t xml:space="preserve"> of </w:t>
    </w:r>
    <w:r w:rsidR="00644A2D">
      <w:rPr>
        <w:noProof/>
      </w:rPr>
      <w:fldChar w:fldCharType="begin"/>
    </w:r>
    <w:r w:rsidR="00644A2D">
      <w:rPr>
        <w:noProof/>
      </w:rPr>
      <w:instrText xml:space="preserve"> NUMPAGES  \* Arabic  \* MERGEFORMAT </w:instrText>
    </w:r>
    <w:r w:rsidR="00644A2D">
      <w:rPr>
        <w:noProof/>
      </w:rPr>
      <w:fldChar w:fldCharType="separate"/>
    </w:r>
    <w:r w:rsidR="00AC27D8">
      <w:rPr>
        <w:noProof/>
      </w:rPr>
      <w:t>8</w:t>
    </w:r>
    <w:r w:rsidR="00644A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8AF4" w14:textId="77777777" w:rsidR="00AB250B" w:rsidRDefault="00AB250B" w:rsidP="00D06E62">
      <w:r>
        <w:separator/>
      </w:r>
    </w:p>
  </w:footnote>
  <w:footnote w:type="continuationSeparator" w:id="0">
    <w:p w14:paraId="0D881A59" w14:textId="77777777" w:rsidR="00AB250B" w:rsidRDefault="00AB250B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4923" w14:textId="6E089A38" w:rsidR="00B97FE3" w:rsidRDefault="00EE096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2DCF2F17" wp14:editId="182C140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3210" cy="309880"/>
              <wp:effectExtent l="0" t="2724150" r="0" b="2690495"/>
              <wp:wrapNone/>
              <wp:docPr id="4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3210" cy="309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794D0" w14:textId="45AFB7C9" w:rsidR="00EE0963" w:rsidRDefault="00EE0963" w:rsidP="00EE09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and not for further dissemination until </w:t>
                          </w:r>
                          <w:r w:rsidR="005C6C2A"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F2F17" id="_x0000_t202" coordsize="21600,21600" o:spt="202" path="m,l,21600r21600,l21600,xe">
              <v:stroke joinstyle="miter"/>
              <v:path gradientshapeok="t" o:connecttype="rect"/>
            </v:shapetype>
            <v:shape id="WordArt 17" o:spid="_x0000_s1026" type="#_x0000_t202" style="position:absolute;margin-left:0;margin-top:0;width:622.3pt;height:24.4pt;rotation:-45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C794D0" w14:textId="45AFB7C9" w:rsidR="00EE0963" w:rsidRDefault="00EE0963" w:rsidP="00EE096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r w:rsidR="005C6C2A"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68AB" w14:textId="7E6F1AD4" w:rsidR="009B751B" w:rsidRDefault="00644A2D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D10A32">
      <w:rPr>
        <w:noProof/>
      </w:rPr>
      <w:t>COPP 3.3 Voluntary Starvation</w:t>
    </w:r>
    <w:r>
      <w:rPr>
        <w:noProof/>
      </w:rPr>
      <w:fldChar w:fldCharType="end"/>
    </w:r>
    <w:r w:rsidR="00BE4E2F">
      <w:rPr>
        <w:noProof/>
      </w:rPr>
      <w:t xml:space="preserve"> </w:t>
    </w:r>
    <w:r w:rsidR="00A8427D">
      <w:rPr>
        <w:noProof/>
      </w:rPr>
      <w:t>v2.0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A1F" w14:textId="0283B1C8" w:rsidR="00B97FE3" w:rsidRDefault="000B60F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5888" behindDoc="1" locked="0" layoutInCell="1" allowOverlap="1" wp14:anchorId="38EE438A" wp14:editId="5CF765A8">
          <wp:simplePos x="0" y="0"/>
          <wp:positionH relativeFrom="column">
            <wp:posOffset>2543175</wp:posOffset>
          </wp:positionH>
          <wp:positionV relativeFrom="paragraph">
            <wp:posOffset>-114935</wp:posOffset>
          </wp:positionV>
          <wp:extent cx="3972560" cy="542925"/>
          <wp:effectExtent l="0" t="0" r="0" b="9525"/>
          <wp:wrapThrough wrapText="bothSides">
            <wp:wrapPolygon edited="0">
              <wp:start x="1139" y="1516"/>
              <wp:lineTo x="932" y="8337"/>
              <wp:lineTo x="1554" y="9853"/>
              <wp:lineTo x="11187" y="15158"/>
              <wp:lineTo x="11187" y="18947"/>
              <wp:lineTo x="17194" y="21221"/>
              <wp:lineTo x="20923" y="21221"/>
              <wp:lineTo x="21027" y="19705"/>
              <wp:lineTo x="21130" y="1516"/>
              <wp:lineTo x="1139" y="1516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6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631A17CB" wp14:editId="1BC097BC">
          <wp:simplePos x="0" y="0"/>
          <wp:positionH relativeFrom="column">
            <wp:posOffset>209550</wp:posOffset>
          </wp:positionH>
          <wp:positionV relativeFrom="paragraph">
            <wp:posOffset>189865</wp:posOffset>
          </wp:positionV>
          <wp:extent cx="1647825" cy="295275"/>
          <wp:effectExtent l="0" t="0" r="0" b="0"/>
          <wp:wrapThrough wrapText="bothSides">
            <wp:wrapPolygon edited="0">
              <wp:start x="999" y="1394"/>
              <wp:lineTo x="999" y="12542"/>
              <wp:lineTo x="1249" y="15329"/>
              <wp:lineTo x="11986" y="15329"/>
              <wp:lineTo x="16731" y="12542"/>
              <wp:lineTo x="16980" y="5574"/>
              <wp:lineTo x="14483" y="1394"/>
              <wp:lineTo x="999" y="1394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3840" behindDoc="1" locked="0" layoutInCell="1" allowOverlap="1" wp14:anchorId="3F7A3E80" wp14:editId="4A3316CC">
          <wp:simplePos x="0" y="0"/>
          <wp:positionH relativeFrom="page">
            <wp:posOffset>8890</wp:posOffset>
          </wp:positionH>
          <wp:positionV relativeFrom="page">
            <wp:posOffset>20955</wp:posOffset>
          </wp:positionV>
          <wp:extent cx="7580630" cy="10719435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96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045738CF" wp14:editId="7D6964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3210" cy="309880"/>
              <wp:effectExtent l="0" t="2724150" r="0" b="2690495"/>
              <wp:wrapNone/>
              <wp:docPr id="3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3210" cy="309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E79E0" w14:textId="778A123E" w:rsidR="00EE0963" w:rsidRDefault="00EE0963" w:rsidP="00EE09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and not for further dissemination until </w:t>
                          </w:r>
                          <w:r w:rsidR="005C6C2A"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738CF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7" type="#_x0000_t202" style="position:absolute;margin-left:0;margin-top:0;width:622.3pt;height:24.4pt;rotation:-45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C7E79E0" w14:textId="778A123E" w:rsidR="00EE0963" w:rsidRDefault="00EE0963" w:rsidP="00EE096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r w:rsidR="005C6C2A"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13D"/>
    <w:multiLevelType w:val="multilevel"/>
    <w:tmpl w:val="CF94DE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752D61"/>
    <w:multiLevelType w:val="hybridMultilevel"/>
    <w:tmpl w:val="06EC02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7D2E"/>
    <w:multiLevelType w:val="hybridMultilevel"/>
    <w:tmpl w:val="6306614E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945255"/>
    <w:multiLevelType w:val="hybridMultilevel"/>
    <w:tmpl w:val="8414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48D6"/>
    <w:multiLevelType w:val="hybridMultilevel"/>
    <w:tmpl w:val="F04E9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4B62"/>
    <w:multiLevelType w:val="hybridMultilevel"/>
    <w:tmpl w:val="564AEC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A39"/>
    <w:multiLevelType w:val="hybridMultilevel"/>
    <w:tmpl w:val="42C4ABD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3705"/>
    <w:multiLevelType w:val="hybridMultilevel"/>
    <w:tmpl w:val="0232A0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7879"/>
    <w:multiLevelType w:val="hybridMultilevel"/>
    <w:tmpl w:val="36E08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9175F8"/>
    <w:multiLevelType w:val="hybridMultilevel"/>
    <w:tmpl w:val="819A6CCC"/>
    <w:lvl w:ilvl="0" w:tplc="38765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15FB4"/>
    <w:multiLevelType w:val="hybridMultilevel"/>
    <w:tmpl w:val="68D8A82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4491"/>
    <w:multiLevelType w:val="hybridMultilevel"/>
    <w:tmpl w:val="9398B2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44612"/>
    <w:multiLevelType w:val="hybridMultilevel"/>
    <w:tmpl w:val="937A1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761">
    <w:abstractNumId w:val="12"/>
  </w:num>
  <w:num w:numId="2" w16cid:durableId="101606449">
    <w:abstractNumId w:val="7"/>
  </w:num>
  <w:num w:numId="3" w16cid:durableId="1206992237">
    <w:abstractNumId w:val="1"/>
  </w:num>
  <w:num w:numId="4" w16cid:durableId="537476737">
    <w:abstractNumId w:val="0"/>
  </w:num>
  <w:num w:numId="5" w16cid:durableId="746456647">
    <w:abstractNumId w:val="15"/>
  </w:num>
  <w:num w:numId="6" w16cid:durableId="1097170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3282737">
    <w:abstractNumId w:val="9"/>
  </w:num>
  <w:num w:numId="8" w16cid:durableId="495848451">
    <w:abstractNumId w:val="20"/>
  </w:num>
  <w:num w:numId="9" w16cid:durableId="583227653">
    <w:abstractNumId w:val="3"/>
  </w:num>
  <w:num w:numId="10" w16cid:durableId="1616907073">
    <w:abstractNumId w:val="14"/>
  </w:num>
  <w:num w:numId="11" w16cid:durableId="1380010326">
    <w:abstractNumId w:val="5"/>
  </w:num>
  <w:num w:numId="12" w16cid:durableId="1351437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3662427">
    <w:abstractNumId w:val="8"/>
  </w:num>
  <w:num w:numId="14" w16cid:durableId="1793548678">
    <w:abstractNumId w:val="18"/>
  </w:num>
  <w:num w:numId="15" w16cid:durableId="1858881697">
    <w:abstractNumId w:val="17"/>
  </w:num>
  <w:num w:numId="16" w16cid:durableId="886989198">
    <w:abstractNumId w:val="16"/>
  </w:num>
  <w:num w:numId="17" w16cid:durableId="1329869881">
    <w:abstractNumId w:val="4"/>
  </w:num>
  <w:num w:numId="18" w16cid:durableId="1578172877">
    <w:abstractNumId w:val="2"/>
  </w:num>
  <w:num w:numId="19" w16cid:durableId="523711624">
    <w:abstractNumId w:val="10"/>
  </w:num>
  <w:num w:numId="20" w16cid:durableId="1507789592">
    <w:abstractNumId w:val="19"/>
  </w:num>
  <w:num w:numId="21" w16cid:durableId="1218905183">
    <w:abstractNumId w:val="6"/>
  </w:num>
  <w:num w:numId="22" w16cid:durableId="1722245298">
    <w:abstractNumId w:val="13"/>
  </w:num>
  <w:num w:numId="23" w16cid:durableId="632831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MP+3r8Le5aBTl5lvhs4CjgqLBzv8AhxcDXq3gP1x0O4ozssPCgqmogS2BnPPb/TPLs4aWkQVvE7s1LMiy2H1w==" w:salt="9kR2Rn16EyhFpSWVmR524w=="/>
  <w:defaultTabStop w:val="720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01F35"/>
    <w:rsid w:val="000035B9"/>
    <w:rsid w:val="00003D5C"/>
    <w:rsid w:val="000210E1"/>
    <w:rsid w:val="000217A1"/>
    <w:rsid w:val="00031DDF"/>
    <w:rsid w:val="00045F51"/>
    <w:rsid w:val="0005041D"/>
    <w:rsid w:val="000755EE"/>
    <w:rsid w:val="00084DA8"/>
    <w:rsid w:val="000904DF"/>
    <w:rsid w:val="000925A5"/>
    <w:rsid w:val="000A013B"/>
    <w:rsid w:val="000B140B"/>
    <w:rsid w:val="000B60F5"/>
    <w:rsid w:val="000B6320"/>
    <w:rsid w:val="000C680D"/>
    <w:rsid w:val="000D008C"/>
    <w:rsid w:val="000D1D4E"/>
    <w:rsid w:val="000D390D"/>
    <w:rsid w:val="000D69A3"/>
    <w:rsid w:val="000F53EB"/>
    <w:rsid w:val="000F7531"/>
    <w:rsid w:val="000F77D9"/>
    <w:rsid w:val="001035D6"/>
    <w:rsid w:val="001075A4"/>
    <w:rsid w:val="00107C79"/>
    <w:rsid w:val="0011160F"/>
    <w:rsid w:val="00113978"/>
    <w:rsid w:val="001158E9"/>
    <w:rsid w:val="00120E08"/>
    <w:rsid w:val="00126481"/>
    <w:rsid w:val="00126611"/>
    <w:rsid w:val="00131037"/>
    <w:rsid w:val="001336BB"/>
    <w:rsid w:val="0014100E"/>
    <w:rsid w:val="001446D5"/>
    <w:rsid w:val="00144A1B"/>
    <w:rsid w:val="00146739"/>
    <w:rsid w:val="00150099"/>
    <w:rsid w:val="00155864"/>
    <w:rsid w:val="001737E9"/>
    <w:rsid w:val="001757E8"/>
    <w:rsid w:val="001931DF"/>
    <w:rsid w:val="00193880"/>
    <w:rsid w:val="001A05F2"/>
    <w:rsid w:val="001A2473"/>
    <w:rsid w:val="001B02F7"/>
    <w:rsid w:val="001B3A36"/>
    <w:rsid w:val="001D022A"/>
    <w:rsid w:val="001D350F"/>
    <w:rsid w:val="001D7419"/>
    <w:rsid w:val="001E03B0"/>
    <w:rsid w:val="001F03A4"/>
    <w:rsid w:val="001F099B"/>
    <w:rsid w:val="001F560C"/>
    <w:rsid w:val="001F7046"/>
    <w:rsid w:val="00200BCB"/>
    <w:rsid w:val="00203844"/>
    <w:rsid w:val="00203EE2"/>
    <w:rsid w:val="002178FA"/>
    <w:rsid w:val="0023740C"/>
    <w:rsid w:val="00241F63"/>
    <w:rsid w:val="002457AA"/>
    <w:rsid w:val="00245869"/>
    <w:rsid w:val="002464B3"/>
    <w:rsid w:val="00250C62"/>
    <w:rsid w:val="00252895"/>
    <w:rsid w:val="00252E4B"/>
    <w:rsid w:val="00254316"/>
    <w:rsid w:val="0027609B"/>
    <w:rsid w:val="00277880"/>
    <w:rsid w:val="002813AD"/>
    <w:rsid w:val="00282283"/>
    <w:rsid w:val="00285795"/>
    <w:rsid w:val="002A276A"/>
    <w:rsid w:val="002D3A6F"/>
    <w:rsid w:val="002E2517"/>
    <w:rsid w:val="002E5756"/>
    <w:rsid w:val="002E6F7B"/>
    <w:rsid w:val="002F601D"/>
    <w:rsid w:val="002F722E"/>
    <w:rsid w:val="00302144"/>
    <w:rsid w:val="00307964"/>
    <w:rsid w:val="0031194B"/>
    <w:rsid w:val="00320304"/>
    <w:rsid w:val="00330FD8"/>
    <w:rsid w:val="00346C4A"/>
    <w:rsid w:val="00360E31"/>
    <w:rsid w:val="00365BC2"/>
    <w:rsid w:val="00371963"/>
    <w:rsid w:val="00380258"/>
    <w:rsid w:val="003B4159"/>
    <w:rsid w:val="003B6CF9"/>
    <w:rsid w:val="003C1B90"/>
    <w:rsid w:val="003D000E"/>
    <w:rsid w:val="003D3241"/>
    <w:rsid w:val="003D5F4A"/>
    <w:rsid w:val="003D6DFF"/>
    <w:rsid w:val="003D708E"/>
    <w:rsid w:val="003E0ED1"/>
    <w:rsid w:val="003E6CE1"/>
    <w:rsid w:val="00400DF5"/>
    <w:rsid w:val="004019E4"/>
    <w:rsid w:val="0040796F"/>
    <w:rsid w:val="004165F0"/>
    <w:rsid w:val="0043301A"/>
    <w:rsid w:val="00435A3E"/>
    <w:rsid w:val="00446EE4"/>
    <w:rsid w:val="00457598"/>
    <w:rsid w:val="00464E72"/>
    <w:rsid w:val="00466731"/>
    <w:rsid w:val="00467CDF"/>
    <w:rsid w:val="00474368"/>
    <w:rsid w:val="0047619E"/>
    <w:rsid w:val="00476AE9"/>
    <w:rsid w:val="00482020"/>
    <w:rsid w:val="004874D4"/>
    <w:rsid w:val="00490500"/>
    <w:rsid w:val="004A393A"/>
    <w:rsid w:val="004B307A"/>
    <w:rsid w:val="004B596C"/>
    <w:rsid w:val="004B5F4C"/>
    <w:rsid w:val="004B6106"/>
    <w:rsid w:val="004C040F"/>
    <w:rsid w:val="004D040B"/>
    <w:rsid w:val="004E571B"/>
    <w:rsid w:val="004F10C4"/>
    <w:rsid w:val="00516DD9"/>
    <w:rsid w:val="00521AF0"/>
    <w:rsid w:val="005267A4"/>
    <w:rsid w:val="0054230B"/>
    <w:rsid w:val="00547A1A"/>
    <w:rsid w:val="00547CA5"/>
    <w:rsid w:val="00554385"/>
    <w:rsid w:val="005657AE"/>
    <w:rsid w:val="0057018C"/>
    <w:rsid w:val="00576EFF"/>
    <w:rsid w:val="0058669A"/>
    <w:rsid w:val="00592112"/>
    <w:rsid w:val="00595375"/>
    <w:rsid w:val="005A3EA6"/>
    <w:rsid w:val="005C6C2A"/>
    <w:rsid w:val="005C73FC"/>
    <w:rsid w:val="005D4F4B"/>
    <w:rsid w:val="005E566A"/>
    <w:rsid w:val="005E7382"/>
    <w:rsid w:val="005F07BA"/>
    <w:rsid w:val="005F73AF"/>
    <w:rsid w:val="006037A1"/>
    <w:rsid w:val="00606299"/>
    <w:rsid w:val="00620624"/>
    <w:rsid w:val="006206D3"/>
    <w:rsid w:val="00621726"/>
    <w:rsid w:val="00627992"/>
    <w:rsid w:val="006335A4"/>
    <w:rsid w:val="00634C54"/>
    <w:rsid w:val="00642791"/>
    <w:rsid w:val="006444FB"/>
    <w:rsid w:val="00644A2D"/>
    <w:rsid w:val="0064579D"/>
    <w:rsid w:val="00647424"/>
    <w:rsid w:val="00656F4A"/>
    <w:rsid w:val="00657C07"/>
    <w:rsid w:val="00663830"/>
    <w:rsid w:val="00664162"/>
    <w:rsid w:val="00672D96"/>
    <w:rsid w:val="00676E46"/>
    <w:rsid w:val="006827C1"/>
    <w:rsid w:val="00683096"/>
    <w:rsid w:val="006966C7"/>
    <w:rsid w:val="006A1AD3"/>
    <w:rsid w:val="006B3601"/>
    <w:rsid w:val="006B6846"/>
    <w:rsid w:val="006C3E6D"/>
    <w:rsid w:val="006D5431"/>
    <w:rsid w:val="00710A49"/>
    <w:rsid w:val="00711C79"/>
    <w:rsid w:val="00715807"/>
    <w:rsid w:val="007444AC"/>
    <w:rsid w:val="00752A9E"/>
    <w:rsid w:val="0076217B"/>
    <w:rsid w:val="00765A25"/>
    <w:rsid w:val="007707EE"/>
    <w:rsid w:val="0077176E"/>
    <w:rsid w:val="007727C0"/>
    <w:rsid w:val="00773AE4"/>
    <w:rsid w:val="00774632"/>
    <w:rsid w:val="00775238"/>
    <w:rsid w:val="007836B3"/>
    <w:rsid w:val="007A5D68"/>
    <w:rsid w:val="007B64C1"/>
    <w:rsid w:val="007C26B9"/>
    <w:rsid w:val="007D1D47"/>
    <w:rsid w:val="007D3C6F"/>
    <w:rsid w:val="007E67F4"/>
    <w:rsid w:val="007F3356"/>
    <w:rsid w:val="008000C6"/>
    <w:rsid w:val="00803710"/>
    <w:rsid w:val="00805D65"/>
    <w:rsid w:val="008114B3"/>
    <w:rsid w:val="008143BD"/>
    <w:rsid w:val="00822852"/>
    <w:rsid w:val="00833776"/>
    <w:rsid w:val="00842888"/>
    <w:rsid w:val="008439A4"/>
    <w:rsid w:val="00844223"/>
    <w:rsid w:val="00852982"/>
    <w:rsid w:val="008531D0"/>
    <w:rsid w:val="00857A48"/>
    <w:rsid w:val="0086067A"/>
    <w:rsid w:val="00862843"/>
    <w:rsid w:val="00872A8D"/>
    <w:rsid w:val="008831B7"/>
    <w:rsid w:val="00887FF6"/>
    <w:rsid w:val="00896850"/>
    <w:rsid w:val="008968FC"/>
    <w:rsid w:val="008976B1"/>
    <w:rsid w:val="008B5E88"/>
    <w:rsid w:val="008C2674"/>
    <w:rsid w:val="008C79F8"/>
    <w:rsid w:val="008D3DE0"/>
    <w:rsid w:val="008D51C1"/>
    <w:rsid w:val="00905D45"/>
    <w:rsid w:val="0091065E"/>
    <w:rsid w:val="00930B45"/>
    <w:rsid w:val="00946BA3"/>
    <w:rsid w:val="0096091F"/>
    <w:rsid w:val="009814BD"/>
    <w:rsid w:val="009827F5"/>
    <w:rsid w:val="00982FD2"/>
    <w:rsid w:val="009962C0"/>
    <w:rsid w:val="009A19E1"/>
    <w:rsid w:val="009A76C9"/>
    <w:rsid w:val="009B38BD"/>
    <w:rsid w:val="009B68A0"/>
    <w:rsid w:val="009B751B"/>
    <w:rsid w:val="009E026C"/>
    <w:rsid w:val="00A042F6"/>
    <w:rsid w:val="00A10B10"/>
    <w:rsid w:val="00A11856"/>
    <w:rsid w:val="00A30AB1"/>
    <w:rsid w:val="00A33B52"/>
    <w:rsid w:val="00A3758F"/>
    <w:rsid w:val="00A37664"/>
    <w:rsid w:val="00A43D05"/>
    <w:rsid w:val="00A53F61"/>
    <w:rsid w:val="00A547EA"/>
    <w:rsid w:val="00A554BE"/>
    <w:rsid w:val="00A60410"/>
    <w:rsid w:val="00A60D81"/>
    <w:rsid w:val="00A6396A"/>
    <w:rsid w:val="00A644CE"/>
    <w:rsid w:val="00A80319"/>
    <w:rsid w:val="00A820CD"/>
    <w:rsid w:val="00A8427D"/>
    <w:rsid w:val="00A90B02"/>
    <w:rsid w:val="00A9657E"/>
    <w:rsid w:val="00AA1734"/>
    <w:rsid w:val="00AA332C"/>
    <w:rsid w:val="00AB250B"/>
    <w:rsid w:val="00AB3998"/>
    <w:rsid w:val="00AC27D8"/>
    <w:rsid w:val="00AC5EAE"/>
    <w:rsid w:val="00AD3E2D"/>
    <w:rsid w:val="00AE3362"/>
    <w:rsid w:val="00AE3B60"/>
    <w:rsid w:val="00AF1FA6"/>
    <w:rsid w:val="00AF2995"/>
    <w:rsid w:val="00AF4C82"/>
    <w:rsid w:val="00AF7DDC"/>
    <w:rsid w:val="00B02B08"/>
    <w:rsid w:val="00B12CF1"/>
    <w:rsid w:val="00B136DA"/>
    <w:rsid w:val="00B173B2"/>
    <w:rsid w:val="00B25880"/>
    <w:rsid w:val="00B31A35"/>
    <w:rsid w:val="00B37932"/>
    <w:rsid w:val="00B45ABE"/>
    <w:rsid w:val="00B52334"/>
    <w:rsid w:val="00B53112"/>
    <w:rsid w:val="00B875DB"/>
    <w:rsid w:val="00B937D8"/>
    <w:rsid w:val="00B97FE3"/>
    <w:rsid w:val="00BA388E"/>
    <w:rsid w:val="00BB0B1F"/>
    <w:rsid w:val="00BD19BD"/>
    <w:rsid w:val="00BE410B"/>
    <w:rsid w:val="00BE4E2F"/>
    <w:rsid w:val="00BF5125"/>
    <w:rsid w:val="00BF586B"/>
    <w:rsid w:val="00C016B5"/>
    <w:rsid w:val="00C06A93"/>
    <w:rsid w:val="00C0767A"/>
    <w:rsid w:val="00C11C3C"/>
    <w:rsid w:val="00C15484"/>
    <w:rsid w:val="00C16309"/>
    <w:rsid w:val="00C2101E"/>
    <w:rsid w:val="00C2391F"/>
    <w:rsid w:val="00C34111"/>
    <w:rsid w:val="00C728F8"/>
    <w:rsid w:val="00C73193"/>
    <w:rsid w:val="00C74E00"/>
    <w:rsid w:val="00C80CC7"/>
    <w:rsid w:val="00C8272F"/>
    <w:rsid w:val="00CA6E96"/>
    <w:rsid w:val="00CA79C5"/>
    <w:rsid w:val="00CB2355"/>
    <w:rsid w:val="00CB28BE"/>
    <w:rsid w:val="00CC06D5"/>
    <w:rsid w:val="00CC0E63"/>
    <w:rsid w:val="00CC266B"/>
    <w:rsid w:val="00CC3054"/>
    <w:rsid w:val="00CC47AF"/>
    <w:rsid w:val="00CD13D3"/>
    <w:rsid w:val="00CD1C34"/>
    <w:rsid w:val="00CE1A06"/>
    <w:rsid w:val="00CE5342"/>
    <w:rsid w:val="00CF0CCC"/>
    <w:rsid w:val="00CF1431"/>
    <w:rsid w:val="00CF288F"/>
    <w:rsid w:val="00CF49E4"/>
    <w:rsid w:val="00D05B49"/>
    <w:rsid w:val="00D05B4E"/>
    <w:rsid w:val="00D06097"/>
    <w:rsid w:val="00D06E62"/>
    <w:rsid w:val="00D107E3"/>
    <w:rsid w:val="00D10A32"/>
    <w:rsid w:val="00D20E41"/>
    <w:rsid w:val="00D260A7"/>
    <w:rsid w:val="00D33726"/>
    <w:rsid w:val="00D51543"/>
    <w:rsid w:val="00D51B54"/>
    <w:rsid w:val="00D52373"/>
    <w:rsid w:val="00D630A8"/>
    <w:rsid w:val="00D641A8"/>
    <w:rsid w:val="00D77DA1"/>
    <w:rsid w:val="00D83D90"/>
    <w:rsid w:val="00D9330E"/>
    <w:rsid w:val="00D933F8"/>
    <w:rsid w:val="00D950BB"/>
    <w:rsid w:val="00D978E7"/>
    <w:rsid w:val="00DA2414"/>
    <w:rsid w:val="00DE202F"/>
    <w:rsid w:val="00DF4FE7"/>
    <w:rsid w:val="00DF778C"/>
    <w:rsid w:val="00E06470"/>
    <w:rsid w:val="00E102E9"/>
    <w:rsid w:val="00E13B3C"/>
    <w:rsid w:val="00E15DE9"/>
    <w:rsid w:val="00E25750"/>
    <w:rsid w:val="00E614E8"/>
    <w:rsid w:val="00E70327"/>
    <w:rsid w:val="00E73673"/>
    <w:rsid w:val="00E74451"/>
    <w:rsid w:val="00E81242"/>
    <w:rsid w:val="00E84D53"/>
    <w:rsid w:val="00E9486B"/>
    <w:rsid w:val="00E9731D"/>
    <w:rsid w:val="00EA16A3"/>
    <w:rsid w:val="00EA2F74"/>
    <w:rsid w:val="00EA6531"/>
    <w:rsid w:val="00EA7EAC"/>
    <w:rsid w:val="00EB09F5"/>
    <w:rsid w:val="00EC11D3"/>
    <w:rsid w:val="00EC2113"/>
    <w:rsid w:val="00EC5AF1"/>
    <w:rsid w:val="00EC7AB2"/>
    <w:rsid w:val="00EE0963"/>
    <w:rsid w:val="00EF1630"/>
    <w:rsid w:val="00EF1CBD"/>
    <w:rsid w:val="00EF1F6F"/>
    <w:rsid w:val="00EF2200"/>
    <w:rsid w:val="00EF265F"/>
    <w:rsid w:val="00F01703"/>
    <w:rsid w:val="00F26A9D"/>
    <w:rsid w:val="00F31F68"/>
    <w:rsid w:val="00F3492E"/>
    <w:rsid w:val="00F45492"/>
    <w:rsid w:val="00F60389"/>
    <w:rsid w:val="00F757DB"/>
    <w:rsid w:val="00F828E9"/>
    <w:rsid w:val="00F87FC9"/>
    <w:rsid w:val="00F917FB"/>
    <w:rsid w:val="00F933CE"/>
    <w:rsid w:val="00F948E8"/>
    <w:rsid w:val="00F95791"/>
    <w:rsid w:val="00FA1D8B"/>
    <w:rsid w:val="00FA430D"/>
    <w:rsid w:val="00FC1456"/>
    <w:rsid w:val="00FC7232"/>
    <w:rsid w:val="00FD5716"/>
    <w:rsid w:val="00FD591D"/>
    <w:rsid w:val="00FE14F8"/>
    <w:rsid w:val="00FE207C"/>
    <w:rsid w:val="00FF1B22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324098B2"/>
  <w14:defaultImageDpi w14:val="300"/>
  <w15:docId w15:val="{1E7CF673-07C3-4CA0-AA13-78CAEC5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E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EE2"/>
    <w:pPr>
      <w:keepNext/>
      <w:keepLines/>
      <w:numPr>
        <w:numId w:val="3"/>
      </w:numPr>
      <w:spacing w:before="240" w:after="120"/>
      <w:ind w:left="686" w:hanging="686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3EE2"/>
    <w:pPr>
      <w:numPr>
        <w:ilvl w:val="1"/>
      </w:numPr>
      <w:ind w:left="700" w:hanging="70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203EE2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03EE2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22E"/>
    <w:pPr>
      <w:tabs>
        <w:tab w:val="left" w:pos="426"/>
        <w:tab w:val="right" w:leader="dot" w:pos="916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4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table" w:customStyle="1" w:styleId="DCStable1">
    <w:name w:val="DCStable1"/>
    <w:basedOn w:val="TableNormal"/>
    <w:uiPriority w:val="99"/>
    <w:rsid w:val="00360E31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2">
    <w:name w:val="DCStable2"/>
    <w:basedOn w:val="TableNormal"/>
    <w:uiPriority w:val="99"/>
    <w:rsid w:val="000B60F5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3">
    <w:name w:val="DCStable3"/>
    <w:basedOn w:val="TableNormal"/>
    <w:uiPriority w:val="99"/>
    <w:rsid w:val="00B53112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428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7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FC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FC9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10A49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EE0963"/>
    <w:pPr>
      <w:spacing w:before="100" w:beforeAutospacing="1" w:after="100" w:afterAutospacing="1"/>
    </w:pPr>
    <w:rPr>
      <w:rFonts w:ascii="Times New Roman" w:eastAsiaTheme="minorEastAsia" w:hAnsi="Times New Roman"/>
      <w:lang w:eastAsia="en-AU"/>
    </w:rPr>
  </w:style>
  <w:style w:type="paragraph" w:customStyle="1" w:styleId="H1nonumber">
    <w:name w:val="H1nonumber"/>
    <w:basedOn w:val="Heading1"/>
    <w:qFormat/>
    <w:rsid w:val="00203EE2"/>
    <w:pPr>
      <w:numPr>
        <w:numId w:val="0"/>
      </w:numPr>
    </w:pPr>
  </w:style>
  <w:style w:type="paragraph" w:styleId="Revision">
    <w:name w:val="Revision"/>
    <w:hidden/>
    <w:uiPriority w:val="99"/>
    <w:semiHidden/>
    <w:rsid w:val="00F26A9D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justus/intranet/department/standards/Pages/ops-standards.aspx" TargetMode="External"/><Relationship Id="rId18" Type="http://schemas.openxmlformats.org/officeDocument/2006/relationships/hyperlink" Target="http://justus/communities/health-services/Pages/Policy-and-Procedure.aspx" TargetMode="External"/><Relationship Id="rId26" Type="http://schemas.openxmlformats.org/officeDocument/2006/relationships/hyperlink" Target="http://justus/communities/health-services/Pages/Policy-and-Procedure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justus/intranet/prison-operations/Pages/bhdc-copp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://justus/intranet/department/standards/Pages/ops-standards.aspx" TargetMode="External"/><Relationship Id="rId17" Type="http://schemas.openxmlformats.org/officeDocument/2006/relationships/header" Target="header3.xml"/><Relationship Id="rId25" Type="http://schemas.openxmlformats.org/officeDocument/2006/relationships/hyperlink" Target="http://justus/intranet/department/standards/Pages/ops-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justus/intranet/prison-operations/Pages/bhdc-copp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justus/intranet/department/standards/Pages/ops-standards.aspx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justus/intranet/prison-operations/Pages/bhdc-copps.aspx" TargetMode="External"/><Relationship Id="rId28" Type="http://schemas.openxmlformats.org/officeDocument/2006/relationships/hyperlink" Target="http://justus/intranet/department/standards/Pages/monitoring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justus/intranet/prison-operations/Pages/bhdc-copp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justus/intranet/prison-operations/Pages/bhdc-copps.aspx" TargetMode="External"/><Relationship Id="rId27" Type="http://schemas.openxmlformats.org/officeDocument/2006/relationships/hyperlink" Target="http://justus/intranet/department/standards/Pages/monitoring.aspx" TargetMode="Externa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COPP 3.3 Voluntary Starvation - Banksia Hill Detention Centre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31270-8447-466A-B9FE-DA2C0C9A5A75}">
  <ds:schemaRefs>
    <ds:schemaRef ds:uri="http://purl.org/dc/elements/1.1/"/>
    <ds:schemaRef ds:uri="http://schemas.microsoft.com/office/2006/metadata/properties"/>
    <ds:schemaRef ds:uri="87620643-678a-4ec4-b8d1-35ea5295a2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E28CD8-FCDB-4C7F-B315-693822AAAF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1660</Words>
  <Characters>9467</Characters>
  <Application>Microsoft Office Word</Application>
  <DocSecurity>12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3.3 Voluntary Starvation - Banksia Hill Detention Centre</vt:lpstr>
    </vt:vector>
  </TitlesOfParts>
  <Manager>Nimilandra.Nageswaran@correctiveservices.wa.gov.au</Manager>
  <Company>Department of Justice</Company>
  <LinksUpToDate>false</LinksUpToDate>
  <CharactersWithSpaces>11105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3.3 Voluntary Starvation - Banksia Hill Detention Centre</dc:title>
  <dc:subject/>
  <dc:creator>Scott.Rumbold@justice.wa.gov.au</dc:creator>
  <cp:keywords>Department of Justice; Western Australia; Commissioner Operating Policy and Procedure (COPP); Banksia Hill Detention Centre; Detainee; Detainees; Rule; Custodial; Instrument; Rules; Law; Govern; Youth; 3.3; Starve; Starvation; Fast; Food; Refuse; Voluntary; Not Eat; Fasting.</cp:keywords>
  <dc:description/>
  <cp:lastModifiedBy>Maris Margetts</cp:lastModifiedBy>
  <cp:revision>2</cp:revision>
  <cp:lastPrinted>2018-08-01T08:04:00Z</cp:lastPrinted>
  <dcterms:created xsi:type="dcterms:W3CDTF">2023-05-15T06:02:00Z</dcterms:created>
  <dcterms:modified xsi:type="dcterms:W3CDTF">2023-05-15T06:02:00Z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